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5FCC" w14:textId="77777777" w:rsidR="009E1A04" w:rsidRDefault="009E1A04" w:rsidP="009859E4">
      <w:pPr>
        <w:spacing w:after="160" w:line="259" w:lineRule="auto"/>
      </w:pPr>
    </w:p>
    <w:p w14:paraId="29CBD15A" w14:textId="77777777" w:rsidR="00A54E1B" w:rsidRDefault="00A54E1B" w:rsidP="009859E4">
      <w:pPr>
        <w:spacing w:after="160" w:line="259" w:lineRule="auto"/>
      </w:pPr>
    </w:p>
    <w:p w14:paraId="0B2B4509" w14:textId="77777777" w:rsidR="00A54E1B" w:rsidRDefault="00A54E1B" w:rsidP="00A54E1B">
      <w:pPr>
        <w:spacing w:after="160" w:line="256" w:lineRule="auto"/>
        <w:jc w:val="center"/>
        <w:rPr>
          <w:sz w:val="48"/>
          <w:szCs w:val="48"/>
        </w:rPr>
      </w:pPr>
    </w:p>
    <w:p w14:paraId="16042DDC" w14:textId="77777777" w:rsidR="00A54E1B" w:rsidRDefault="00A54E1B" w:rsidP="00A54E1B">
      <w:pPr>
        <w:spacing w:after="160" w:line="256" w:lineRule="auto"/>
        <w:jc w:val="center"/>
        <w:rPr>
          <w:sz w:val="48"/>
          <w:szCs w:val="48"/>
        </w:rPr>
      </w:pPr>
    </w:p>
    <w:p w14:paraId="395FFE41" w14:textId="77777777" w:rsidR="00A54E1B" w:rsidRDefault="00A54E1B" w:rsidP="00A54E1B">
      <w:pPr>
        <w:spacing w:after="160" w:line="256" w:lineRule="auto"/>
        <w:jc w:val="center"/>
        <w:rPr>
          <w:sz w:val="48"/>
          <w:szCs w:val="48"/>
        </w:rPr>
      </w:pPr>
    </w:p>
    <w:p w14:paraId="32A9D955" w14:textId="77777777" w:rsidR="00A54E1B" w:rsidRDefault="00A54E1B" w:rsidP="00A54E1B">
      <w:pPr>
        <w:spacing w:after="160" w:line="256" w:lineRule="auto"/>
        <w:jc w:val="center"/>
        <w:rPr>
          <w:sz w:val="48"/>
          <w:szCs w:val="48"/>
        </w:rPr>
      </w:pPr>
    </w:p>
    <w:p w14:paraId="390363ED" w14:textId="77777777" w:rsidR="00A54E1B" w:rsidRDefault="00A54E1B" w:rsidP="00A54E1B">
      <w:pPr>
        <w:spacing w:after="160" w:line="256" w:lineRule="auto"/>
        <w:jc w:val="center"/>
        <w:rPr>
          <w:sz w:val="48"/>
          <w:szCs w:val="48"/>
        </w:rPr>
      </w:pPr>
      <w:r w:rsidRPr="00F54C23">
        <w:rPr>
          <w:sz w:val="48"/>
          <w:szCs w:val="48"/>
        </w:rPr>
        <w:t xml:space="preserve">Izvještaj o poslovanju Društva </w:t>
      </w:r>
    </w:p>
    <w:p w14:paraId="521D50F7" w14:textId="77777777" w:rsidR="00A54E1B" w:rsidRPr="00F54C23" w:rsidRDefault="00A54E1B" w:rsidP="00A54E1B">
      <w:pPr>
        <w:spacing w:after="160" w:line="256" w:lineRule="auto"/>
        <w:jc w:val="center"/>
        <w:rPr>
          <w:sz w:val="48"/>
          <w:szCs w:val="48"/>
        </w:rPr>
      </w:pPr>
      <w:r w:rsidRPr="00F54C23">
        <w:rPr>
          <w:sz w:val="48"/>
          <w:szCs w:val="48"/>
        </w:rPr>
        <w:t>Č</w:t>
      </w:r>
      <w:r>
        <w:rPr>
          <w:sz w:val="48"/>
          <w:szCs w:val="48"/>
        </w:rPr>
        <w:t>istoća i zelenilo d.o.o. za 2019. g</w:t>
      </w:r>
      <w:r w:rsidRPr="00F54C23">
        <w:rPr>
          <w:sz w:val="48"/>
          <w:szCs w:val="48"/>
        </w:rPr>
        <w:t>odinu</w:t>
      </w:r>
    </w:p>
    <w:p w14:paraId="49B7F3B7" w14:textId="77777777" w:rsidR="00A54E1B" w:rsidRPr="00F54C23" w:rsidRDefault="00A54E1B" w:rsidP="00A54E1B">
      <w:pPr>
        <w:spacing w:after="160" w:line="256" w:lineRule="auto"/>
        <w:jc w:val="center"/>
        <w:rPr>
          <w:sz w:val="48"/>
          <w:szCs w:val="48"/>
        </w:rPr>
      </w:pPr>
    </w:p>
    <w:p w14:paraId="310D811B" w14:textId="77777777" w:rsidR="00A54E1B" w:rsidRDefault="00A54E1B" w:rsidP="00A54E1B">
      <w:pPr>
        <w:spacing w:after="160" w:line="256" w:lineRule="auto"/>
        <w:jc w:val="center"/>
        <w:rPr>
          <w:sz w:val="72"/>
          <w:szCs w:val="72"/>
        </w:rPr>
      </w:pPr>
    </w:p>
    <w:p w14:paraId="6E1EC98A" w14:textId="77777777" w:rsidR="00A54E1B" w:rsidRDefault="00A54E1B" w:rsidP="00A54E1B">
      <w:pPr>
        <w:spacing w:after="160" w:line="256" w:lineRule="auto"/>
        <w:jc w:val="center"/>
        <w:rPr>
          <w:sz w:val="72"/>
          <w:szCs w:val="72"/>
        </w:rPr>
      </w:pPr>
    </w:p>
    <w:p w14:paraId="2E26A014" w14:textId="77777777" w:rsidR="00A54E1B" w:rsidRDefault="00A54E1B" w:rsidP="00A54E1B">
      <w:pPr>
        <w:spacing w:after="160" w:line="256" w:lineRule="auto"/>
        <w:jc w:val="center"/>
        <w:rPr>
          <w:sz w:val="72"/>
          <w:szCs w:val="72"/>
        </w:rPr>
      </w:pPr>
    </w:p>
    <w:p w14:paraId="1AD7FD4E" w14:textId="77777777" w:rsidR="00A54E1B" w:rsidRDefault="00A54E1B" w:rsidP="00A54E1B">
      <w:pPr>
        <w:spacing w:after="160" w:line="256" w:lineRule="auto"/>
        <w:jc w:val="center"/>
        <w:rPr>
          <w:sz w:val="72"/>
          <w:szCs w:val="72"/>
        </w:rPr>
      </w:pPr>
    </w:p>
    <w:p w14:paraId="6B1D4B3C" w14:textId="77777777" w:rsidR="00A54E1B" w:rsidRDefault="00A54E1B" w:rsidP="00A54E1B">
      <w:pPr>
        <w:spacing w:after="160" w:line="256" w:lineRule="auto"/>
        <w:jc w:val="center"/>
        <w:rPr>
          <w:sz w:val="72"/>
          <w:szCs w:val="72"/>
        </w:rPr>
      </w:pPr>
    </w:p>
    <w:p w14:paraId="5DDC3BF3" w14:textId="77777777" w:rsidR="00A54E1B" w:rsidRDefault="00A54E1B" w:rsidP="00A54E1B">
      <w:pPr>
        <w:spacing w:after="160" w:line="256" w:lineRule="auto"/>
        <w:jc w:val="center"/>
        <w:rPr>
          <w:sz w:val="72"/>
          <w:szCs w:val="72"/>
        </w:rPr>
      </w:pPr>
    </w:p>
    <w:p w14:paraId="64F4BC8E" w14:textId="77777777" w:rsidR="00A54E1B" w:rsidRDefault="00A54E1B" w:rsidP="00A54E1B">
      <w:pPr>
        <w:spacing w:after="160" w:line="256" w:lineRule="auto"/>
        <w:jc w:val="center"/>
      </w:pPr>
      <w:r w:rsidRPr="00F54C23">
        <w:t>ožujak 2020.godine</w:t>
      </w:r>
    </w:p>
    <w:p w14:paraId="1BF28747" w14:textId="77777777" w:rsidR="00A54E1B" w:rsidRDefault="00A54E1B" w:rsidP="00A54E1B">
      <w:pPr>
        <w:spacing w:after="160" w:line="256" w:lineRule="auto"/>
        <w:jc w:val="center"/>
      </w:pPr>
    </w:p>
    <w:p w14:paraId="423C73A7" w14:textId="77777777" w:rsidR="00A54E1B" w:rsidRPr="00F54C23" w:rsidRDefault="00A54E1B" w:rsidP="00A54E1B">
      <w:pPr>
        <w:spacing w:after="160" w:line="256" w:lineRule="auto"/>
        <w:jc w:val="center"/>
      </w:pPr>
    </w:p>
    <w:p w14:paraId="242DA4BD" w14:textId="77777777" w:rsidR="00A54E1B" w:rsidRPr="00F60C4A" w:rsidRDefault="00A54E1B" w:rsidP="00A54E1B">
      <w:pPr>
        <w:ind w:firstLine="360"/>
        <w:jc w:val="both"/>
        <w:rPr>
          <w:b/>
          <w:sz w:val="32"/>
          <w:szCs w:val="32"/>
          <w:u w:val="single"/>
        </w:rPr>
      </w:pPr>
      <w:r>
        <w:rPr>
          <w:b/>
          <w:sz w:val="32"/>
          <w:szCs w:val="32"/>
          <w:u w:val="single"/>
        </w:rPr>
        <w:t>R</w:t>
      </w:r>
      <w:r w:rsidRPr="00F60C4A">
        <w:rPr>
          <w:b/>
          <w:sz w:val="32"/>
          <w:szCs w:val="32"/>
          <w:u w:val="single"/>
        </w:rPr>
        <w:t>adovi na održavanju javnih zelenih površina u 2019.g.</w:t>
      </w:r>
    </w:p>
    <w:p w14:paraId="06159CB0" w14:textId="77777777" w:rsidR="00A54E1B" w:rsidRPr="00F60C4A" w:rsidRDefault="00A54E1B" w:rsidP="00A54E1B">
      <w:pPr>
        <w:jc w:val="both"/>
        <w:rPr>
          <w:b/>
          <w:sz w:val="32"/>
          <w:szCs w:val="32"/>
          <w:u w:val="single"/>
        </w:rPr>
      </w:pPr>
    </w:p>
    <w:p w14:paraId="0628BDFE" w14:textId="77777777" w:rsidR="00A54E1B" w:rsidRPr="003554A9" w:rsidRDefault="00A54E1B" w:rsidP="00A54E1B">
      <w:pPr>
        <w:pStyle w:val="Odlomakpopisa"/>
        <w:numPr>
          <w:ilvl w:val="0"/>
          <w:numId w:val="4"/>
        </w:numPr>
        <w:suppressAutoHyphens/>
        <w:jc w:val="both"/>
      </w:pPr>
      <w:r w:rsidRPr="003554A9">
        <w:t>Uređenje parka između Jelenine ulice i ulice Bribirskih knezova – nasipavanje humusa i zemlje za sadnju, postavljanje kantica za otpatke, sadnja lavande i sezonskog cvijeća.</w:t>
      </w:r>
    </w:p>
    <w:p w14:paraId="640D79A3" w14:textId="77777777" w:rsidR="00A54E1B" w:rsidRPr="003554A9" w:rsidRDefault="00A54E1B" w:rsidP="00A54E1B">
      <w:pPr>
        <w:pStyle w:val="Odlomakpopisa"/>
        <w:jc w:val="both"/>
      </w:pPr>
    </w:p>
    <w:p w14:paraId="74003D2D" w14:textId="77777777" w:rsidR="00A54E1B" w:rsidRPr="003554A9" w:rsidRDefault="00A54E1B" w:rsidP="00A54E1B">
      <w:pPr>
        <w:pStyle w:val="Odlomakpopisa"/>
        <w:numPr>
          <w:ilvl w:val="0"/>
          <w:numId w:val="4"/>
        </w:numPr>
        <w:suppressAutoHyphens/>
        <w:jc w:val="both"/>
      </w:pPr>
      <w:r w:rsidRPr="003554A9">
        <w:t xml:space="preserve">Postavljanje kantica za otpatke na nogostupima u Tuđmanovoj, Zvonimirovoj, Branimirovoj, Tomislavovoj i ulici 7. Gardijske brigade, te na odmorištu </w:t>
      </w:r>
      <w:proofErr w:type="spellStart"/>
      <w:r w:rsidRPr="003554A9">
        <w:t>Marunuša</w:t>
      </w:r>
      <w:proofErr w:type="spellEnd"/>
    </w:p>
    <w:p w14:paraId="4837D4D1" w14:textId="77777777" w:rsidR="00A54E1B" w:rsidRPr="003554A9" w:rsidRDefault="00A54E1B" w:rsidP="00A54E1B">
      <w:pPr>
        <w:pStyle w:val="Odlomakpopisa"/>
      </w:pPr>
    </w:p>
    <w:p w14:paraId="20EC3E4E" w14:textId="77777777" w:rsidR="00A54E1B" w:rsidRPr="003554A9" w:rsidRDefault="00A54E1B" w:rsidP="00A54E1B">
      <w:pPr>
        <w:pStyle w:val="Odlomakpopisa"/>
        <w:numPr>
          <w:ilvl w:val="0"/>
          <w:numId w:val="4"/>
        </w:numPr>
        <w:suppressAutoHyphens/>
        <w:jc w:val="both"/>
      </w:pPr>
      <w:r w:rsidRPr="003554A9">
        <w:t>Uređenje zelenih površina u ulici 4. Gardijske brigade</w:t>
      </w:r>
    </w:p>
    <w:p w14:paraId="221EEACA" w14:textId="77777777" w:rsidR="00A54E1B" w:rsidRPr="003554A9" w:rsidRDefault="00A54E1B" w:rsidP="00A54E1B">
      <w:pPr>
        <w:pStyle w:val="Odlomakpopisa"/>
      </w:pPr>
    </w:p>
    <w:p w14:paraId="1722008E" w14:textId="77777777" w:rsidR="00A54E1B" w:rsidRPr="003554A9" w:rsidRDefault="00A54E1B" w:rsidP="00A54E1B">
      <w:pPr>
        <w:pStyle w:val="Odlomakpopisa"/>
        <w:numPr>
          <w:ilvl w:val="0"/>
          <w:numId w:val="4"/>
        </w:numPr>
        <w:suppressAutoHyphens/>
        <w:jc w:val="both"/>
      </w:pPr>
      <w:r w:rsidRPr="003554A9">
        <w:t>Nova sadnja, postav i uređenje zelene površine na kružnom toku</w:t>
      </w:r>
    </w:p>
    <w:p w14:paraId="0E7C11C5" w14:textId="77777777" w:rsidR="00A54E1B" w:rsidRPr="00F60C4A" w:rsidRDefault="00A54E1B" w:rsidP="00A54E1B">
      <w:pPr>
        <w:pStyle w:val="Odlomakpopisa"/>
        <w:rPr>
          <w:sz w:val="26"/>
          <w:szCs w:val="26"/>
        </w:rPr>
      </w:pPr>
    </w:p>
    <w:p w14:paraId="48C25F4C" w14:textId="77777777" w:rsidR="00A54E1B" w:rsidRPr="00F60C4A" w:rsidRDefault="00A54E1B" w:rsidP="00A54E1B">
      <w:pPr>
        <w:pStyle w:val="Odlomakpopisa"/>
        <w:rPr>
          <w:sz w:val="26"/>
          <w:szCs w:val="26"/>
        </w:rPr>
      </w:pPr>
    </w:p>
    <w:p w14:paraId="63CED14E" w14:textId="77777777" w:rsidR="00A54E1B" w:rsidRPr="00F60C4A" w:rsidRDefault="00A54E1B" w:rsidP="00A54E1B">
      <w:pPr>
        <w:pStyle w:val="Odlomakpopisa"/>
        <w:rPr>
          <w:sz w:val="26"/>
          <w:szCs w:val="26"/>
        </w:rPr>
      </w:pPr>
    </w:p>
    <w:p w14:paraId="1040905B" w14:textId="77777777" w:rsidR="00A54E1B" w:rsidRPr="00F60C4A" w:rsidRDefault="00A54E1B" w:rsidP="00A54E1B">
      <w:pPr>
        <w:pStyle w:val="Odlomakpopisa"/>
        <w:jc w:val="both"/>
        <w:rPr>
          <w:sz w:val="26"/>
          <w:szCs w:val="26"/>
        </w:rPr>
      </w:pPr>
    </w:p>
    <w:p w14:paraId="17EE9F92" w14:textId="77777777" w:rsidR="00A54E1B" w:rsidRPr="00F60C4A" w:rsidRDefault="00A54E1B" w:rsidP="00A54E1B">
      <w:pPr>
        <w:rPr>
          <w:b/>
          <w:sz w:val="32"/>
          <w:szCs w:val="32"/>
          <w:u w:val="single"/>
        </w:rPr>
      </w:pPr>
      <w:r>
        <w:rPr>
          <w:b/>
          <w:sz w:val="32"/>
          <w:szCs w:val="32"/>
          <w:u w:val="single"/>
        </w:rPr>
        <w:t>N</w:t>
      </w:r>
      <w:r w:rsidRPr="00F60C4A">
        <w:rPr>
          <w:b/>
          <w:sz w:val="32"/>
          <w:szCs w:val="32"/>
          <w:u w:val="single"/>
        </w:rPr>
        <w:t>abavljeno i isporučeno u 2019.godini:</w:t>
      </w:r>
    </w:p>
    <w:p w14:paraId="386C5378" w14:textId="77777777" w:rsidR="00A54E1B" w:rsidRPr="00F60C4A" w:rsidRDefault="00A54E1B" w:rsidP="00A54E1B">
      <w:pPr>
        <w:rPr>
          <w:b/>
          <w:sz w:val="26"/>
          <w:szCs w:val="26"/>
          <w:u w:val="single"/>
        </w:rPr>
      </w:pPr>
    </w:p>
    <w:p w14:paraId="2ECAFB9C" w14:textId="77777777" w:rsidR="00A54E1B" w:rsidRPr="003554A9" w:rsidRDefault="00A54E1B" w:rsidP="00A54E1B">
      <w:pPr>
        <w:pStyle w:val="Odlomakpopisa"/>
        <w:numPr>
          <w:ilvl w:val="0"/>
          <w:numId w:val="4"/>
        </w:numPr>
        <w:suppressAutoHyphens/>
      </w:pPr>
      <w:r w:rsidRPr="003554A9">
        <w:t>DROBILICA GRANJA  - 1 kom – vrijednost:  834.375,00 kn sa PDV-om (putem financijskog leasinga – mjesečna rata cca 7.530,00 kn)</w:t>
      </w:r>
    </w:p>
    <w:p w14:paraId="3C23616B" w14:textId="77777777" w:rsidR="00A54E1B" w:rsidRPr="003554A9" w:rsidRDefault="00A54E1B" w:rsidP="00A54E1B">
      <w:pPr>
        <w:pStyle w:val="Odlomakpopisa"/>
      </w:pPr>
    </w:p>
    <w:p w14:paraId="345D263B" w14:textId="77777777" w:rsidR="00A54E1B" w:rsidRPr="003554A9" w:rsidRDefault="00A54E1B" w:rsidP="00A54E1B">
      <w:pPr>
        <w:pStyle w:val="Odlomakpopisa"/>
        <w:numPr>
          <w:ilvl w:val="0"/>
          <w:numId w:val="4"/>
        </w:numPr>
        <w:suppressAutoHyphens/>
      </w:pPr>
      <w:r w:rsidRPr="003554A9">
        <w:t xml:space="preserve">POLU-PODZEMNI SPREMNICI  </w:t>
      </w:r>
      <w:proofErr w:type="spellStart"/>
      <w:r w:rsidRPr="003554A9">
        <w:t>zap</w:t>
      </w:r>
      <w:proofErr w:type="spellEnd"/>
      <w:r w:rsidRPr="003554A9">
        <w:t>. 5 m3 -  5 komada  -  vrijednost: 125.000,00 kn sa PDV-om</w:t>
      </w:r>
    </w:p>
    <w:p w14:paraId="74906F89" w14:textId="77777777" w:rsidR="00A54E1B" w:rsidRPr="003554A9" w:rsidRDefault="00A54E1B" w:rsidP="00A54E1B">
      <w:pPr>
        <w:pStyle w:val="Odlomakpopisa"/>
      </w:pPr>
    </w:p>
    <w:p w14:paraId="6413CD42" w14:textId="77777777" w:rsidR="00A54E1B" w:rsidRPr="003554A9" w:rsidRDefault="00A54E1B" w:rsidP="00A54E1B">
      <w:pPr>
        <w:pStyle w:val="Odlomakpopisa"/>
        <w:numPr>
          <w:ilvl w:val="0"/>
          <w:numId w:val="4"/>
        </w:numPr>
        <w:suppressAutoHyphens/>
      </w:pPr>
      <w:r w:rsidRPr="003554A9">
        <w:t>OTPADOMJERI  -  5 komada  -  vrijednost:  57.500,00 kn sa PDV-om</w:t>
      </w:r>
    </w:p>
    <w:p w14:paraId="66B64BCB" w14:textId="77777777" w:rsidR="00A54E1B" w:rsidRPr="003554A9" w:rsidRDefault="00A54E1B" w:rsidP="00A54E1B">
      <w:pPr>
        <w:pStyle w:val="Odlomakpopisa"/>
      </w:pPr>
    </w:p>
    <w:p w14:paraId="7A869D62" w14:textId="77777777" w:rsidR="00A54E1B" w:rsidRPr="003554A9" w:rsidRDefault="00A54E1B" w:rsidP="00A54E1B">
      <w:pPr>
        <w:pStyle w:val="Odlomakpopisa"/>
        <w:numPr>
          <w:ilvl w:val="0"/>
          <w:numId w:val="4"/>
        </w:numPr>
        <w:suppressAutoHyphens/>
      </w:pPr>
      <w:r w:rsidRPr="003554A9">
        <w:t>KORISNIČKI KLJUČEVI ZA OTPADOMJERE – 500 komada – vrijednost:  190.625,00 kn sa PDV-om</w:t>
      </w:r>
    </w:p>
    <w:p w14:paraId="1950B55C" w14:textId="77777777" w:rsidR="00A54E1B" w:rsidRPr="003554A9" w:rsidRDefault="00A54E1B" w:rsidP="00A54E1B">
      <w:pPr>
        <w:pStyle w:val="Odlomakpopisa"/>
      </w:pPr>
    </w:p>
    <w:p w14:paraId="484A4E88" w14:textId="77777777" w:rsidR="00A54E1B" w:rsidRPr="003554A9" w:rsidRDefault="00A54E1B" w:rsidP="00A54E1B">
      <w:pPr>
        <w:pStyle w:val="Odlomakpopisa"/>
        <w:numPr>
          <w:ilvl w:val="0"/>
          <w:numId w:val="4"/>
        </w:numPr>
        <w:suppressAutoHyphens/>
      </w:pPr>
      <w:r w:rsidRPr="003554A9">
        <w:t>SPREMNICI ZAPREMINE 240 LITARA ZA KOM. OTPAD  –  200 komada  -  vrijednost:  44.500,00  kn sa PDV-om</w:t>
      </w:r>
    </w:p>
    <w:p w14:paraId="65B39584" w14:textId="77777777" w:rsidR="00A54E1B" w:rsidRPr="003554A9" w:rsidRDefault="00A54E1B" w:rsidP="00A54E1B">
      <w:pPr>
        <w:pStyle w:val="Odlomakpopisa"/>
      </w:pPr>
    </w:p>
    <w:p w14:paraId="357BC830" w14:textId="77777777" w:rsidR="00A54E1B" w:rsidRPr="003554A9" w:rsidRDefault="00A54E1B" w:rsidP="00A54E1B">
      <w:pPr>
        <w:pStyle w:val="Odlomakpopisa"/>
        <w:numPr>
          <w:ilvl w:val="0"/>
          <w:numId w:val="4"/>
        </w:numPr>
        <w:suppressAutoHyphens/>
      </w:pPr>
      <w:r w:rsidRPr="003554A9">
        <w:t>SPREMNICI ZAPREMINE 1100 litara S GRAVITACIJSKOM BRAVOM  -             30 komada  -  vrijednost:  123.750,00 kn sa PDV-om</w:t>
      </w:r>
    </w:p>
    <w:p w14:paraId="68BBAE1B" w14:textId="77777777" w:rsidR="00A54E1B" w:rsidRPr="003554A9" w:rsidRDefault="00A54E1B" w:rsidP="00A54E1B">
      <w:pPr>
        <w:pStyle w:val="Odlomakpopisa"/>
      </w:pPr>
    </w:p>
    <w:p w14:paraId="03132564" w14:textId="77777777" w:rsidR="00A54E1B" w:rsidRPr="003554A9" w:rsidRDefault="00A54E1B" w:rsidP="00A54E1B">
      <w:pPr>
        <w:pStyle w:val="Odlomakpopisa"/>
        <w:numPr>
          <w:ilvl w:val="0"/>
          <w:numId w:val="4"/>
        </w:numPr>
        <w:suppressAutoHyphens/>
      </w:pPr>
      <w:r w:rsidRPr="003554A9">
        <w:t>NALJEPNICE BAR CODE  -  4.500 kom  -  vrijednost:  13.500,00 kn sa PDV-om</w:t>
      </w:r>
    </w:p>
    <w:p w14:paraId="108E302B" w14:textId="77777777" w:rsidR="00A54E1B" w:rsidRPr="003554A9" w:rsidRDefault="00A54E1B" w:rsidP="00A54E1B">
      <w:pPr>
        <w:pStyle w:val="Odlomakpopisa"/>
      </w:pPr>
    </w:p>
    <w:p w14:paraId="39DA9600" w14:textId="77777777" w:rsidR="00A54E1B" w:rsidRPr="003554A9" w:rsidRDefault="00A54E1B" w:rsidP="00A54E1B">
      <w:pPr>
        <w:pStyle w:val="Odlomakpopisa"/>
        <w:numPr>
          <w:ilvl w:val="0"/>
          <w:numId w:val="4"/>
        </w:numPr>
        <w:suppressAutoHyphens/>
      </w:pPr>
      <w:r w:rsidRPr="003554A9">
        <w:t>OPREMA ZA RUČNO ČITANJE BAR CODE-a  -  1 kom  -  vrijednost: 11.652,50  kn sa PDV-om</w:t>
      </w:r>
    </w:p>
    <w:p w14:paraId="11B94735" w14:textId="77777777" w:rsidR="00A54E1B" w:rsidRPr="003554A9" w:rsidRDefault="00A54E1B" w:rsidP="00A54E1B">
      <w:pPr>
        <w:pStyle w:val="Odlomakpopisa"/>
      </w:pPr>
    </w:p>
    <w:p w14:paraId="0BED817E" w14:textId="77777777" w:rsidR="00A54E1B" w:rsidRPr="003554A9" w:rsidRDefault="00A54E1B" w:rsidP="00A54E1B">
      <w:pPr>
        <w:pStyle w:val="Odlomakpopisa"/>
        <w:numPr>
          <w:ilvl w:val="0"/>
          <w:numId w:val="4"/>
        </w:numPr>
        <w:suppressAutoHyphens/>
      </w:pPr>
      <w:r w:rsidRPr="003554A9">
        <w:t>STUBNA KANTA ZA OTPATKE  -  45 kom  -  vrijednost:  83.250,00 kn sa PDV-om</w:t>
      </w:r>
    </w:p>
    <w:p w14:paraId="318D6BF5" w14:textId="77777777" w:rsidR="00A54E1B" w:rsidRPr="003554A9" w:rsidRDefault="00A54E1B" w:rsidP="00A54E1B">
      <w:pPr>
        <w:pStyle w:val="Odlomakpopisa"/>
      </w:pPr>
    </w:p>
    <w:p w14:paraId="19735DCA" w14:textId="77777777" w:rsidR="00A54E1B" w:rsidRPr="003554A9" w:rsidRDefault="00A54E1B" w:rsidP="00A54E1B">
      <w:pPr>
        <w:pStyle w:val="Odlomakpopisa"/>
        <w:numPr>
          <w:ilvl w:val="0"/>
          <w:numId w:val="4"/>
        </w:numPr>
        <w:suppressAutoHyphens/>
      </w:pPr>
      <w:r w:rsidRPr="003554A9">
        <w:lastRenderedPageBreak/>
        <w:t>SUSTAV VIDEO-NADZORA NA RECIKLAŽNOM DVORIŠTU KNIN I NA ODLAGALIŠTU „MALA PROMINA“  -  2 kom  - vrijednost: 21.818,00  kn sa PDV-om</w:t>
      </w:r>
    </w:p>
    <w:p w14:paraId="79E1C24E" w14:textId="77777777" w:rsidR="00A54E1B" w:rsidRPr="003554A9" w:rsidRDefault="00A54E1B" w:rsidP="00A54E1B">
      <w:pPr>
        <w:pStyle w:val="Odlomakpopisa"/>
      </w:pPr>
    </w:p>
    <w:p w14:paraId="64E825D1" w14:textId="77777777" w:rsidR="00A54E1B" w:rsidRPr="003554A9" w:rsidRDefault="00A54E1B" w:rsidP="00A54E1B">
      <w:pPr>
        <w:pStyle w:val="Odlomakpopisa"/>
        <w:numPr>
          <w:ilvl w:val="0"/>
          <w:numId w:val="4"/>
        </w:numPr>
        <w:suppressAutoHyphens/>
      </w:pPr>
      <w:r w:rsidRPr="003554A9">
        <w:t>ČISTAČ ŠIKARE  - TRIMER HUSQVARNA  - 1 kom  -  vrijednost:  6.480,00 kn sa PDV-om</w:t>
      </w:r>
    </w:p>
    <w:p w14:paraId="38FFA9F4" w14:textId="77777777" w:rsidR="00A54E1B" w:rsidRPr="003554A9" w:rsidRDefault="00A54E1B" w:rsidP="00A54E1B">
      <w:pPr>
        <w:pStyle w:val="Odlomakpopisa"/>
      </w:pPr>
    </w:p>
    <w:p w14:paraId="4327C61D" w14:textId="77777777" w:rsidR="00A54E1B" w:rsidRPr="003554A9" w:rsidRDefault="00A54E1B" w:rsidP="00A54E1B">
      <w:pPr>
        <w:pStyle w:val="Odlomakpopisa"/>
        <w:numPr>
          <w:ilvl w:val="0"/>
          <w:numId w:val="4"/>
        </w:numPr>
        <w:suppressAutoHyphens/>
      </w:pPr>
      <w:r w:rsidRPr="003554A9">
        <w:t>MOTORNA PUHALICA STIHL  -  1 kom  -  vrijednost:  5.350,00 kn sa PDV-om</w:t>
      </w:r>
    </w:p>
    <w:p w14:paraId="67E82385" w14:textId="77777777" w:rsidR="00A54E1B" w:rsidRPr="003554A9" w:rsidRDefault="00A54E1B" w:rsidP="00A54E1B">
      <w:pPr>
        <w:pStyle w:val="Odlomakpopisa"/>
      </w:pPr>
    </w:p>
    <w:p w14:paraId="4FA78F1D" w14:textId="77777777" w:rsidR="00A54E1B" w:rsidRPr="003554A9" w:rsidRDefault="00A54E1B" w:rsidP="00A54E1B">
      <w:pPr>
        <w:pStyle w:val="Odlomakpopisa"/>
        <w:jc w:val="both"/>
      </w:pPr>
    </w:p>
    <w:p w14:paraId="6A2A37A8" w14:textId="77777777" w:rsidR="00A54E1B" w:rsidRPr="003554A9" w:rsidRDefault="00A54E1B" w:rsidP="00A54E1B">
      <w:pPr>
        <w:jc w:val="both"/>
      </w:pPr>
    </w:p>
    <w:p w14:paraId="70A605FD" w14:textId="77777777" w:rsidR="00A54E1B" w:rsidRPr="003554A9" w:rsidRDefault="00A54E1B" w:rsidP="00A54E1B">
      <w:pPr>
        <w:pStyle w:val="Odlomakpopisa"/>
        <w:jc w:val="both"/>
      </w:pPr>
    </w:p>
    <w:p w14:paraId="2C40B292" w14:textId="77777777" w:rsidR="00A54E1B" w:rsidRPr="003554A9" w:rsidRDefault="00A54E1B" w:rsidP="00A54E1B">
      <w:pPr>
        <w:pStyle w:val="Odlomakpopisa"/>
        <w:jc w:val="both"/>
        <w:rPr>
          <w:b/>
          <w:u w:val="single"/>
        </w:rPr>
      </w:pPr>
      <w:r w:rsidRPr="003554A9">
        <w:rPr>
          <w:b/>
          <w:u w:val="single"/>
        </w:rPr>
        <w:t>Nabave provedene u 2019. godini, a isporuka u 2020.godini</w:t>
      </w:r>
    </w:p>
    <w:p w14:paraId="490F6806" w14:textId="77777777" w:rsidR="00A54E1B" w:rsidRPr="003554A9" w:rsidRDefault="00A54E1B" w:rsidP="00A54E1B">
      <w:pPr>
        <w:pStyle w:val="Odlomakpopisa"/>
        <w:rPr>
          <w:u w:val="single"/>
        </w:rPr>
      </w:pPr>
    </w:p>
    <w:p w14:paraId="6F1697FA" w14:textId="77777777" w:rsidR="00A54E1B" w:rsidRPr="003554A9" w:rsidRDefault="00A54E1B" w:rsidP="00A54E1B">
      <w:pPr>
        <w:pStyle w:val="Odlomakpopisa"/>
        <w:jc w:val="both"/>
        <w:rPr>
          <w:u w:val="single"/>
        </w:rPr>
      </w:pPr>
    </w:p>
    <w:p w14:paraId="50D13DF1" w14:textId="77777777" w:rsidR="00A54E1B" w:rsidRPr="003554A9" w:rsidRDefault="00A54E1B" w:rsidP="00A54E1B">
      <w:pPr>
        <w:pStyle w:val="Odlomakpopisa"/>
        <w:rPr>
          <w:u w:val="single"/>
        </w:rPr>
      </w:pPr>
    </w:p>
    <w:p w14:paraId="06422497" w14:textId="77777777" w:rsidR="00A54E1B" w:rsidRPr="003554A9" w:rsidRDefault="00A54E1B" w:rsidP="00A54E1B">
      <w:pPr>
        <w:pStyle w:val="Odlomakpopisa"/>
        <w:numPr>
          <w:ilvl w:val="0"/>
          <w:numId w:val="4"/>
        </w:numPr>
        <w:suppressAutoHyphens/>
        <w:jc w:val="both"/>
        <w:rPr>
          <w:b/>
        </w:rPr>
      </w:pPr>
      <w:r w:rsidRPr="003554A9">
        <w:t xml:space="preserve">NABAVA SPECIJALNOG KOMUNALNOG VOZILA PUTEM FINANCIJSKOG LEASINGA – 1 kom – </w:t>
      </w:r>
      <w:proofErr w:type="spellStart"/>
      <w:r w:rsidRPr="003554A9">
        <w:t>proc</w:t>
      </w:r>
      <w:proofErr w:type="spellEnd"/>
      <w:r w:rsidRPr="003554A9">
        <w:t xml:space="preserve">. vrijednost:  1.100.000,00 kn (javna nabava) – </w:t>
      </w:r>
      <w:r w:rsidRPr="003554A9">
        <w:rPr>
          <w:b/>
        </w:rPr>
        <w:t>ISPORUKA VOZILA OČEKUJE SE POČETKOM SRPNJA 2020.g.</w:t>
      </w:r>
    </w:p>
    <w:p w14:paraId="328266C2" w14:textId="77777777" w:rsidR="00A54E1B" w:rsidRPr="003554A9" w:rsidRDefault="00A54E1B" w:rsidP="00A54E1B">
      <w:pPr>
        <w:jc w:val="both"/>
        <w:rPr>
          <w:b/>
        </w:rPr>
      </w:pPr>
    </w:p>
    <w:p w14:paraId="4FACF944" w14:textId="77777777" w:rsidR="00A54E1B" w:rsidRPr="003554A9" w:rsidRDefault="00A54E1B" w:rsidP="00A54E1B">
      <w:pPr>
        <w:jc w:val="both"/>
        <w:rPr>
          <w:b/>
        </w:rPr>
      </w:pPr>
    </w:p>
    <w:p w14:paraId="39E388E9" w14:textId="77777777" w:rsidR="00A54E1B" w:rsidRPr="003554A9" w:rsidRDefault="00A54E1B" w:rsidP="00A54E1B">
      <w:pPr>
        <w:pStyle w:val="Odlomakpopisa"/>
        <w:numPr>
          <w:ilvl w:val="0"/>
          <w:numId w:val="4"/>
        </w:numPr>
        <w:suppressAutoHyphens/>
        <w:jc w:val="both"/>
        <w:rPr>
          <w:b/>
        </w:rPr>
      </w:pPr>
      <w:r w:rsidRPr="003554A9">
        <w:t xml:space="preserve">NABAVA KOMUNALNOG VOZILA NA ELEKTRIČNI POGON – 1 kom  -  </w:t>
      </w:r>
      <w:proofErr w:type="spellStart"/>
      <w:r w:rsidRPr="003554A9">
        <w:t>proc</w:t>
      </w:r>
      <w:proofErr w:type="spellEnd"/>
      <w:r w:rsidRPr="003554A9">
        <w:t>. vrijednost:  300.000,00 kn (javna nabava) – SUFINANCIRAN SA SREDSTVIMA FZOEU SA 80.000 kn.</w:t>
      </w:r>
    </w:p>
    <w:p w14:paraId="69081900" w14:textId="77777777" w:rsidR="00A54E1B" w:rsidRPr="003554A9" w:rsidRDefault="00A54E1B" w:rsidP="00A54E1B">
      <w:pPr>
        <w:pStyle w:val="Odlomakpopisa"/>
        <w:jc w:val="both"/>
        <w:rPr>
          <w:b/>
        </w:rPr>
      </w:pPr>
      <w:r w:rsidRPr="003554A9">
        <w:rPr>
          <w:b/>
        </w:rPr>
        <w:t>ISPORUKA VOZILA JE OBAVLJENA 06.05.2020.g.</w:t>
      </w:r>
    </w:p>
    <w:p w14:paraId="76B40457" w14:textId="77777777" w:rsidR="00A54E1B" w:rsidRPr="003554A9" w:rsidRDefault="00A54E1B" w:rsidP="00A54E1B">
      <w:pPr>
        <w:pStyle w:val="Odlomakpopisa"/>
        <w:jc w:val="both"/>
        <w:rPr>
          <w:b/>
        </w:rPr>
      </w:pPr>
    </w:p>
    <w:p w14:paraId="73177AA8" w14:textId="77777777" w:rsidR="00A54E1B" w:rsidRPr="003554A9" w:rsidRDefault="00A54E1B" w:rsidP="00A54E1B">
      <w:pPr>
        <w:jc w:val="both"/>
        <w:rPr>
          <w:b/>
        </w:rPr>
      </w:pPr>
    </w:p>
    <w:p w14:paraId="66C98560" w14:textId="77777777" w:rsidR="00A54E1B" w:rsidRPr="003554A9" w:rsidRDefault="00A54E1B" w:rsidP="00A54E1B">
      <w:pPr>
        <w:jc w:val="both"/>
        <w:rPr>
          <w:b/>
          <w:i/>
          <w:u w:val="single"/>
        </w:rPr>
      </w:pPr>
      <w:r w:rsidRPr="003554A9">
        <w:rPr>
          <w:b/>
          <w:i/>
          <w:u w:val="single"/>
        </w:rPr>
        <w:t>Ostalo:</w:t>
      </w:r>
    </w:p>
    <w:p w14:paraId="5C0EA7F0" w14:textId="77777777" w:rsidR="00A54E1B" w:rsidRPr="003554A9" w:rsidRDefault="00A54E1B" w:rsidP="00A54E1B">
      <w:pPr>
        <w:jc w:val="both"/>
      </w:pPr>
    </w:p>
    <w:p w14:paraId="394D89E4" w14:textId="77777777" w:rsidR="00A54E1B" w:rsidRPr="003554A9" w:rsidRDefault="00A54E1B" w:rsidP="00A54E1B">
      <w:pPr>
        <w:pStyle w:val="Odlomakpopisa"/>
        <w:numPr>
          <w:ilvl w:val="0"/>
          <w:numId w:val="4"/>
        </w:numPr>
        <w:suppressAutoHyphens/>
        <w:jc w:val="both"/>
      </w:pPr>
      <w:r w:rsidRPr="003554A9">
        <w:t>Sanacija odlagališta „Mala Promina“ (1. Faza) dovršena u travnju 2019.</w:t>
      </w:r>
    </w:p>
    <w:p w14:paraId="6EAFB249" w14:textId="77777777" w:rsidR="00A54E1B" w:rsidRPr="003554A9" w:rsidRDefault="00A54E1B" w:rsidP="00A54E1B">
      <w:pPr>
        <w:pStyle w:val="Odlomakpopisa"/>
        <w:numPr>
          <w:ilvl w:val="0"/>
          <w:numId w:val="4"/>
        </w:numPr>
        <w:suppressAutoHyphens/>
        <w:jc w:val="both"/>
      </w:pPr>
      <w:proofErr w:type="spellStart"/>
      <w:r w:rsidRPr="003554A9">
        <w:t>Raciklažno</w:t>
      </w:r>
      <w:proofErr w:type="spellEnd"/>
      <w:r w:rsidRPr="003554A9">
        <w:t xml:space="preserve"> dvorište Knin otvoreno 21.10.2019.g.</w:t>
      </w:r>
    </w:p>
    <w:p w14:paraId="65579F24" w14:textId="77777777" w:rsidR="00A54E1B" w:rsidRPr="003554A9" w:rsidRDefault="00A54E1B" w:rsidP="00A54E1B">
      <w:pPr>
        <w:jc w:val="both"/>
      </w:pPr>
    </w:p>
    <w:p w14:paraId="6D811565" w14:textId="77777777" w:rsidR="00A54E1B" w:rsidRPr="003554A9" w:rsidRDefault="00A54E1B" w:rsidP="00A54E1B">
      <w:pPr>
        <w:jc w:val="both"/>
      </w:pPr>
    </w:p>
    <w:p w14:paraId="0C1EC46C" w14:textId="77777777" w:rsidR="00A54E1B" w:rsidRPr="003554A9" w:rsidRDefault="00A54E1B" w:rsidP="00A54E1B">
      <w:pPr>
        <w:jc w:val="right"/>
        <w:rPr>
          <w:rFonts w:eastAsia="Calibri"/>
        </w:rPr>
      </w:pPr>
    </w:p>
    <w:p w14:paraId="1362191C" w14:textId="77777777" w:rsidR="00A54E1B" w:rsidRPr="003554A9" w:rsidRDefault="00A54E1B" w:rsidP="00A54E1B">
      <w:pPr>
        <w:rPr>
          <w:rFonts w:eastAsia="Calibri"/>
          <w:b/>
        </w:rPr>
      </w:pPr>
    </w:p>
    <w:p w14:paraId="356A11A7" w14:textId="77777777" w:rsidR="00A54E1B" w:rsidRPr="003554A9" w:rsidRDefault="00A54E1B" w:rsidP="00A54E1B">
      <w:pPr>
        <w:rPr>
          <w:rFonts w:eastAsia="Calibri"/>
          <w:b/>
        </w:rPr>
      </w:pPr>
    </w:p>
    <w:p w14:paraId="4133FC46" w14:textId="77777777" w:rsidR="00A54E1B" w:rsidRPr="003554A9" w:rsidRDefault="00A54E1B" w:rsidP="00A54E1B">
      <w:pPr>
        <w:jc w:val="center"/>
        <w:rPr>
          <w:rFonts w:eastAsia="Calibri"/>
          <w:b/>
        </w:rPr>
      </w:pPr>
    </w:p>
    <w:p w14:paraId="0261E3A6" w14:textId="77777777" w:rsidR="00A54E1B" w:rsidRDefault="00A54E1B" w:rsidP="00A54E1B">
      <w:pPr>
        <w:jc w:val="center"/>
        <w:rPr>
          <w:rFonts w:eastAsia="Calibri"/>
          <w:b/>
        </w:rPr>
      </w:pPr>
    </w:p>
    <w:p w14:paraId="0066FF19" w14:textId="77777777" w:rsidR="003554A9" w:rsidRDefault="003554A9" w:rsidP="00A54E1B">
      <w:pPr>
        <w:jc w:val="center"/>
        <w:rPr>
          <w:rFonts w:eastAsia="Calibri"/>
          <w:b/>
        </w:rPr>
      </w:pPr>
    </w:p>
    <w:p w14:paraId="0A550082" w14:textId="77777777" w:rsidR="003554A9" w:rsidRDefault="003554A9" w:rsidP="00A54E1B">
      <w:pPr>
        <w:jc w:val="center"/>
        <w:rPr>
          <w:rFonts w:eastAsia="Calibri"/>
          <w:b/>
        </w:rPr>
      </w:pPr>
    </w:p>
    <w:p w14:paraId="7A013BF5" w14:textId="77777777" w:rsidR="003554A9" w:rsidRDefault="003554A9" w:rsidP="00A54E1B">
      <w:pPr>
        <w:jc w:val="center"/>
        <w:rPr>
          <w:rFonts w:eastAsia="Calibri"/>
          <w:b/>
        </w:rPr>
      </w:pPr>
    </w:p>
    <w:p w14:paraId="1C661390" w14:textId="77777777" w:rsidR="003554A9" w:rsidRDefault="003554A9" w:rsidP="00A54E1B">
      <w:pPr>
        <w:jc w:val="center"/>
        <w:rPr>
          <w:rFonts w:eastAsia="Calibri"/>
          <w:b/>
        </w:rPr>
      </w:pPr>
    </w:p>
    <w:p w14:paraId="13092D25" w14:textId="77777777" w:rsidR="003554A9" w:rsidRDefault="003554A9" w:rsidP="00A54E1B">
      <w:pPr>
        <w:jc w:val="center"/>
        <w:rPr>
          <w:rFonts w:eastAsia="Calibri"/>
          <w:b/>
        </w:rPr>
      </w:pPr>
    </w:p>
    <w:p w14:paraId="62158FE6" w14:textId="77777777" w:rsidR="003554A9" w:rsidRDefault="003554A9" w:rsidP="00A54E1B">
      <w:pPr>
        <w:jc w:val="center"/>
        <w:rPr>
          <w:rFonts w:eastAsia="Calibri"/>
          <w:b/>
        </w:rPr>
      </w:pPr>
    </w:p>
    <w:p w14:paraId="703E51E1" w14:textId="77777777" w:rsidR="003554A9" w:rsidRDefault="003554A9" w:rsidP="00A54E1B">
      <w:pPr>
        <w:jc w:val="center"/>
        <w:rPr>
          <w:rFonts w:eastAsia="Calibri"/>
          <w:b/>
        </w:rPr>
      </w:pPr>
    </w:p>
    <w:p w14:paraId="21D81116" w14:textId="77777777" w:rsidR="003554A9" w:rsidRDefault="003554A9" w:rsidP="00A54E1B">
      <w:pPr>
        <w:jc w:val="center"/>
        <w:rPr>
          <w:rFonts w:eastAsia="Calibri"/>
          <w:b/>
        </w:rPr>
      </w:pPr>
    </w:p>
    <w:p w14:paraId="791445A4" w14:textId="77777777" w:rsidR="003554A9" w:rsidRDefault="003554A9" w:rsidP="00A54E1B">
      <w:pPr>
        <w:jc w:val="center"/>
        <w:rPr>
          <w:rFonts w:eastAsia="Calibri"/>
          <w:b/>
        </w:rPr>
      </w:pPr>
    </w:p>
    <w:p w14:paraId="19C09DD1" w14:textId="77777777" w:rsidR="003554A9" w:rsidRDefault="003554A9" w:rsidP="00A54E1B">
      <w:pPr>
        <w:jc w:val="center"/>
        <w:rPr>
          <w:rFonts w:eastAsia="Calibri"/>
          <w:b/>
        </w:rPr>
      </w:pPr>
    </w:p>
    <w:p w14:paraId="0D730A82" w14:textId="77777777" w:rsidR="003554A9" w:rsidRPr="003554A9" w:rsidRDefault="003554A9" w:rsidP="00A54E1B">
      <w:pPr>
        <w:jc w:val="center"/>
        <w:rPr>
          <w:rFonts w:eastAsia="Calibri"/>
          <w:b/>
        </w:rPr>
      </w:pPr>
    </w:p>
    <w:p w14:paraId="1166DDD1" w14:textId="77777777" w:rsidR="00A54E1B" w:rsidRPr="003554A9" w:rsidRDefault="00A54E1B" w:rsidP="00A54E1B">
      <w:pPr>
        <w:jc w:val="center"/>
        <w:rPr>
          <w:rFonts w:eastAsia="Calibri"/>
          <w:b/>
        </w:rPr>
      </w:pPr>
    </w:p>
    <w:p w14:paraId="3258646E" w14:textId="77777777" w:rsidR="00A54E1B" w:rsidRPr="003554A9" w:rsidRDefault="00A54E1B" w:rsidP="00A54E1B">
      <w:pPr>
        <w:jc w:val="center"/>
        <w:rPr>
          <w:rFonts w:eastAsia="Calibri"/>
          <w:b/>
        </w:rPr>
      </w:pPr>
    </w:p>
    <w:p w14:paraId="0411B112" w14:textId="77777777" w:rsidR="00A54E1B" w:rsidRPr="003554A9" w:rsidRDefault="00A54E1B" w:rsidP="00A54E1B">
      <w:pPr>
        <w:jc w:val="center"/>
        <w:rPr>
          <w:rFonts w:eastAsia="Calibri"/>
          <w:b/>
        </w:rPr>
      </w:pPr>
    </w:p>
    <w:p w14:paraId="35C2C29A" w14:textId="77777777" w:rsidR="00A54E1B" w:rsidRPr="003554A9" w:rsidRDefault="00A54E1B" w:rsidP="00A54E1B">
      <w:pPr>
        <w:jc w:val="center"/>
        <w:rPr>
          <w:rFonts w:eastAsia="Calibri"/>
          <w:b/>
        </w:rPr>
      </w:pPr>
    </w:p>
    <w:p w14:paraId="0BB0573B" w14:textId="77777777" w:rsidR="00A54E1B" w:rsidRPr="003554A9" w:rsidRDefault="00A54E1B" w:rsidP="00A54E1B">
      <w:pPr>
        <w:jc w:val="center"/>
        <w:rPr>
          <w:rFonts w:eastAsia="Calibri"/>
          <w:b/>
        </w:rPr>
      </w:pPr>
      <w:r w:rsidRPr="003554A9">
        <w:rPr>
          <w:rFonts w:eastAsia="Calibri"/>
          <w:b/>
        </w:rPr>
        <w:t>FINANCIJSKI POKAZATELJI POSLOVANJA</w:t>
      </w:r>
    </w:p>
    <w:p w14:paraId="070F1847" w14:textId="77777777" w:rsidR="00A54E1B" w:rsidRPr="003554A9" w:rsidRDefault="00A54E1B" w:rsidP="00A54E1B">
      <w:pPr>
        <w:jc w:val="center"/>
        <w:rPr>
          <w:rFonts w:eastAsia="Calibri"/>
          <w:b/>
        </w:rPr>
      </w:pPr>
      <w:r w:rsidRPr="003554A9">
        <w:rPr>
          <w:rFonts w:eastAsia="Calibri"/>
          <w:b/>
        </w:rPr>
        <w:t>ZA RAZDOBLJE 2017. - 2019.GODINE</w:t>
      </w:r>
    </w:p>
    <w:p w14:paraId="692304DA" w14:textId="77777777" w:rsidR="00A54E1B" w:rsidRPr="003554A9" w:rsidRDefault="00A54E1B" w:rsidP="00A54E1B">
      <w:pPr>
        <w:rPr>
          <w:rFonts w:eastAsia="Calibri"/>
          <w:b/>
          <w:color w:val="FF0000"/>
        </w:rPr>
      </w:pPr>
    </w:p>
    <w:p w14:paraId="7F7E0DB6" w14:textId="77777777" w:rsidR="00A54E1B" w:rsidRPr="003554A9" w:rsidRDefault="00A54E1B" w:rsidP="00A54E1B">
      <w:pPr>
        <w:rPr>
          <w:rFonts w:eastAsia="Calibri"/>
          <w:b/>
          <w:color w:val="FF0000"/>
        </w:rPr>
      </w:pPr>
    </w:p>
    <w:p w14:paraId="21E0FC40" w14:textId="77777777" w:rsidR="00A54E1B" w:rsidRDefault="00A54E1B" w:rsidP="00A54E1B">
      <w:pPr>
        <w:rPr>
          <w:rFonts w:ascii="Arial" w:eastAsia="Calibri" w:hAnsi="Arial" w:cs="Arial"/>
          <w:b/>
          <w:color w:val="FF0000"/>
        </w:rPr>
      </w:pPr>
    </w:p>
    <w:p w14:paraId="4F39E3EA" w14:textId="77777777" w:rsidR="00A54E1B" w:rsidRPr="000138C1" w:rsidRDefault="00A54E1B" w:rsidP="00A54E1B">
      <w:pPr>
        <w:rPr>
          <w:rFonts w:eastAsia="Calibri"/>
          <w:b/>
        </w:rPr>
      </w:pPr>
      <w:r w:rsidRPr="000138C1">
        <w:rPr>
          <w:rFonts w:eastAsia="Calibri"/>
          <w:b/>
        </w:rPr>
        <w:t>ANALIZA IMOVINE</w:t>
      </w:r>
    </w:p>
    <w:p w14:paraId="7AE9587A" w14:textId="77777777" w:rsidR="00A54E1B" w:rsidRPr="00B732FA" w:rsidRDefault="00A54E1B" w:rsidP="00A54E1B">
      <w:pPr>
        <w:rPr>
          <w:rFonts w:ascii="Arial" w:eastAsia="Calibri" w:hAnsi="Arial" w:cs="Arial"/>
          <w:b/>
          <w:sz w:val="20"/>
          <w:szCs w:val="20"/>
        </w:rPr>
      </w:pPr>
    </w:p>
    <w:p w14:paraId="64F443AB" w14:textId="77777777" w:rsidR="00A54E1B" w:rsidRDefault="00A54E1B" w:rsidP="00A54E1B">
      <w:r>
        <w:rPr>
          <w:noProof/>
        </w:rPr>
        <w:drawing>
          <wp:inline distT="0" distB="0" distL="0" distR="0" wp14:anchorId="15F6F4C2" wp14:editId="3E187963">
            <wp:extent cx="6013450" cy="1727835"/>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0" cy="1727835"/>
                    </a:xfrm>
                    <a:prstGeom prst="rect">
                      <a:avLst/>
                    </a:prstGeom>
                    <a:noFill/>
                    <a:ln>
                      <a:noFill/>
                    </a:ln>
                  </pic:spPr>
                </pic:pic>
              </a:graphicData>
            </a:graphic>
          </wp:inline>
        </w:drawing>
      </w:r>
    </w:p>
    <w:p w14:paraId="09D4E100" w14:textId="77777777" w:rsidR="00A54E1B" w:rsidRDefault="00A54E1B" w:rsidP="00A54E1B">
      <w:pPr>
        <w:rPr>
          <w:rFonts w:ascii="Arial" w:hAnsi="Arial" w:cs="Arial"/>
          <w:sz w:val="20"/>
          <w:szCs w:val="20"/>
        </w:rPr>
      </w:pPr>
    </w:p>
    <w:p w14:paraId="46C8635D" w14:textId="77777777" w:rsidR="00A54E1B" w:rsidRDefault="00A54E1B" w:rsidP="00A54E1B">
      <w:pPr>
        <w:rPr>
          <w:rFonts w:ascii="Arial" w:hAnsi="Arial" w:cs="Arial"/>
          <w:sz w:val="20"/>
          <w:szCs w:val="20"/>
        </w:rPr>
      </w:pPr>
    </w:p>
    <w:p w14:paraId="1098C0A1" w14:textId="77777777" w:rsidR="00A54E1B" w:rsidRPr="00B732FA" w:rsidRDefault="00A54E1B" w:rsidP="00A54E1B">
      <w:pPr>
        <w:rPr>
          <w:rFonts w:ascii="Arial" w:hAnsi="Arial" w:cs="Arial"/>
          <w:sz w:val="20"/>
          <w:szCs w:val="20"/>
        </w:rPr>
      </w:pPr>
      <w:r w:rsidRPr="000138C1">
        <w:rPr>
          <w:noProof/>
        </w:rPr>
        <w:drawing>
          <wp:inline distT="0" distB="0" distL="0" distR="0" wp14:anchorId="4BF5ACAC" wp14:editId="2AEE16EE">
            <wp:extent cx="6077120" cy="25184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144" cy="2518898"/>
                    </a:xfrm>
                    <a:prstGeom prst="rect">
                      <a:avLst/>
                    </a:prstGeom>
                    <a:noFill/>
                  </pic:spPr>
                </pic:pic>
              </a:graphicData>
            </a:graphic>
          </wp:inline>
        </w:drawing>
      </w:r>
    </w:p>
    <w:p w14:paraId="4F228BCC" w14:textId="77777777" w:rsidR="00A54E1B" w:rsidRPr="00B732FA" w:rsidRDefault="00A54E1B" w:rsidP="00A54E1B">
      <w:pPr>
        <w:rPr>
          <w:rFonts w:ascii="Arial" w:hAnsi="Arial" w:cs="Arial"/>
          <w:sz w:val="20"/>
          <w:szCs w:val="20"/>
        </w:rPr>
      </w:pPr>
    </w:p>
    <w:p w14:paraId="7B59EA7F" w14:textId="77777777" w:rsidR="00A54E1B" w:rsidRPr="000138C1" w:rsidRDefault="00A54E1B" w:rsidP="00A54E1B">
      <w:pPr>
        <w:spacing w:line="360" w:lineRule="auto"/>
      </w:pPr>
      <w:r w:rsidRPr="000138C1">
        <w:t xml:space="preserve">Dugotrajna imovina kroz promatrano razdoblje bilježi trend rasta što ukazuje na ekonomsku jačanje društva. Društvo je kupilo stroj za </w:t>
      </w:r>
      <w:proofErr w:type="spellStart"/>
      <w:r w:rsidRPr="000138C1">
        <w:t>dobljenje</w:t>
      </w:r>
      <w:proofErr w:type="spellEnd"/>
      <w:r w:rsidRPr="000138C1">
        <w:t xml:space="preserve"> otpada, sustav za naplatu otpada, program za rad s tarama , ispisni sustav, barkod čitač, </w:t>
      </w:r>
      <w:proofErr w:type="spellStart"/>
      <w:r w:rsidRPr="000138C1">
        <w:t>otpadomjere</w:t>
      </w:r>
      <w:proofErr w:type="spellEnd"/>
      <w:r w:rsidRPr="000138C1">
        <w:t xml:space="preserve">, kao i ostalu uredsku opremu. Kratkotrajna imovina kroz promatrano razdoblje se povećava, a najveći udjel imaju </w:t>
      </w:r>
      <w:r w:rsidRPr="000138C1">
        <w:lastRenderedPageBreak/>
        <w:t xml:space="preserve">potraživanja koja na neki način predstavljaju kreditiranje kupaca i buduću ekonomsku korist, a u 2019. godini uz potraživanja veliki udio ima odlično stanje na računu. </w:t>
      </w:r>
    </w:p>
    <w:p w14:paraId="4385FEBA" w14:textId="77777777" w:rsidR="00A54E1B" w:rsidRPr="000138C1" w:rsidRDefault="00A54E1B" w:rsidP="00A54E1B">
      <w:pPr>
        <w:spacing w:line="360" w:lineRule="auto"/>
      </w:pPr>
      <w:r w:rsidRPr="000138C1">
        <w:t>Stupanj samofinanciranja pokazuje pokriće ukupnih sredstva kapitalom i društvo Čistoća i zelenilo d.o.o.  zadovoljava zadane vrijednosti.</w:t>
      </w:r>
    </w:p>
    <w:p w14:paraId="0689F154" w14:textId="77777777" w:rsidR="00A54E1B" w:rsidRPr="000138C1" w:rsidRDefault="00A54E1B" w:rsidP="00A54E1B">
      <w:pPr>
        <w:spacing w:line="360" w:lineRule="auto"/>
      </w:pPr>
    </w:p>
    <w:p w14:paraId="74FBC920" w14:textId="77777777" w:rsidR="00A54E1B" w:rsidRPr="00B732FA" w:rsidRDefault="00A54E1B" w:rsidP="00A54E1B">
      <w:pPr>
        <w:rPr>
          <w:rFonts w:ascii="Arial" w:eastAsia="Calibri" w:hAnsi="Arial" w:cs="Arial"/>
          <w:b/>
          <w:sz w:val="20"/>
          <w:szCs w:val="20"/>
        </w:rPr>
      </w:pPr>
    </w:p>
    <w:p w14:paraId="7A5FD7DE" w14:textId="77777777" w:rsidR="00A54E1B" w:rsidRPr="00B732FA" w:rsidRDefault="00A54E1B" w:rsidP="00A54E1B">
      <w:pPr>
        <w:rPr>
          <w:rFonts w:ascii="Arial" w:eastAsia="Calibri" w:hAnsi="Arial" w:cs="Arial"/>
          <w:b/>
          <w:sz w:val="20"/>
          <w:szCs w:val="20"/>
        </w:rPr>
      </w:pPr>
      <w:r>
        <w:rPr>
          <w:noProof/>
        </w:rPr>
        <w:drawing>
          <wp:inline distT="0" distB="0" distL="0" distR="0" wp14:anchorId="0AF27724" wp14:editId="12D148EB">
            <wp:extent cx="5974715" cy="2374900"/>
            <wp:effectExtent l="0" t="0" r="26035" b="2540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E95A9B" w14:textId="77777777" w:rsidR="00A54E1B" w:rsidRPr="00B732FA" w:rsidRDefault="00A54E1B" w:rsidP="00A54E1B">
      <w:pPr>
        <w:rPr>
          <w:rFonts w:ascii="Arial" w:eastAsia="Calibri" w:hAnsi="Arial" w:cs="Arial"/>
          <w:b/>
          <w:sz w:val="20"/>
          <w:szCs w:val="20"/>
        </w:rPr>
      </w:pPr>
    </w:p>
    <w:p w14:paraId="1845C8FF" w14:textId="77777777" w:rsidR="00A54E1B" w:rsidRPr="000138C1" w:rsidRDefault="00A54E1B" w:rsidP="00A54E1B">
      <w:pPr>
        <w:spacing w:line="360" w:lineRule="auto"/>
      </w:pPr>
      <w:r w:rsidRPr="000138C1">
        <w:t>U strukturi kratkoročnih obveza najmanji udio je prema dobavljačima a veći dio se odnosi na obveze prema zaposlenima za plaću u 12mj, obveze za porez na dobit... Dugoročne obveze bilježe trend smanjenja i povećanja ali treba uzeti u obzir da se to odnosi na obveze prema leasing kući (početak ili kraj leasinga) a društvo redovno podmiruje obveze prema leasing kući, i to je jedino kreditno zaduženje koje društvo ima.</w:t>
      </w:r>
    </w:p>
    <w:p w14:paraId="483CAC90" w14:textId="77777777" w:rsidR="00A54E1B" w:rsidRPr="00B732FA" w:rsidRDefault="00A54E1B" w:rsidP="00A54E1B">
      <w:pPr>
        <w:rPr>
          <w:rFonts w:ascii="Arial" w:eastAsia="Calibri" w:hAnsi="Arial" w:cs="Arial"/>
          <w:b/>
          <w:sz w:val="20"/>
          <w:szCs w:val="20"/>
        </w:rPr>
      </w:pPr>
    </w:p>
    <w:p w14:paraId="5AB4E68E" w14:textId="77777777" w:rsidR="00A54E1B" w:rsidRPr="000138C1" w:rsidRDefault="00A54E1B" w:rsidP="00A54E1B">
      <w:pPr>
        <w:rPr>
          <w:rStyle w:val="Istaknuto"/>
          <w:rFonts w:eastAsia="Calibri"/>
          <w:b/>
          <w:i w:val="0"/>
        </w:rPr>
      </w:pPr>
      <w:r w:rsidRPr="000138C1">
        <w:rPr>
          <w:rStyle w:val="Istaknuto"/>
          <w:rFonts w:eastAsia="Calibri"/>
          <w:b/>
        </w:rPr>
        <w:t>ANALIZA LIKVIDNOSTI</w:t>
      </w:r>
    </w:p>
    <w:p w14:paraId="68FDB20C" w14:textId="77777777" w:rsidR="00A54E1B" w:rsidRDefault="00A54E1B" w:rsidP="00A54E1B">
      <w:pPr>
        <w:rPr>
          <w:rFonts w:ascii="Arial" w:eastAsia="Calibri" w:hAnsi="Arial" w:cs="Arial"/>
          <w:sz w:val="20"/>
          <w:szCs w:val="20"/>
        </w:rPr>
      </w:pPr>
    </w:p>
    <w:p w14:paraId="67A455BE" w14:textId="77777777" w:rsidR="00A54E1B" w:rsidRPr="00B732FA" w:rsidRDefault="00A54E1B" w:rsidP="00A54E1B">
      <w:pPr>
        <w:rPr>
          <w:rFonts w:ascii="Arial" w:eastAsia="Calibri" w:hAnsi="Arial" w:cs="Arial"/>
          <w:sz w:val="20"/>
          <w:szCs w:val="20"/>
        </w:rPr>
      </w:pPr>
      <w:r>
        <w:rPr>
          <w:rFonts w:eastAsia="Calibri"/>
          <w:noProof/>
        </w:rPr>
        <w:drawing>
          <wp:inline distT="0" distB="0" distL="0" distR="0" wp14:anchorId="01E712A0" wp14:editId="18C240E5">
            <wp:extent cx="6013450" cy="22320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50" cy="2232025"/>
                    </a:xfrm>
                    <a:prstGeom prst="rect">
                      <a:avLst/>
                    </a:prstGeom>
                    <a:noFill/>
                    <a:ln>
                      <a:noFill/>
                    </a:ln>
                  </pic:spPr>
                </pic:pic>
              </a:graphicData>
            </a:graphic>
          </wp:inline>
        </w:drawing>
      </w:r>
    </w:p>
    <w:p w14:paraId="267A3CA2" w14:textId="77777777" w:rsidR="00A54E1B" w:rsidRDefault="00A54E1B" w:rsidP="00A54E1B">
      <w:pPr>
        <w:spacing w:line="360" w:lineRule="auto"/>
        <w:rPr>
          <w:rFonts w:ascii="Arial" w:hAnsi="Arial" w:cs="Arial"/>
          <w:sz w:val="20"/>
          <w:szCs w:val="20"/>
        </w:rPr>
      </w:pPr>
    </w:p>
    <w:p w14:paraId="3A74C7D4" w14:textId="77777777" w:rsidR="00A54E1B" w:rsidRPr="000138C1" w:rsidRDefault="00A54E1B" w:rsidP="00A54E1B">
      <w:pPr>
        <w:spacing w:line="360" w:lineRule="auto"/>
      </w:pPr>
      <w:r w:rsidRPr="000138C1">
        <w:lastRenderedPageBreak/>
        <w:t xml:space="preserve">Koeficijent trenutne likvidnosti ukazuje na sposobnost poduzeća za trenutno podmirenje obaveza. Bolja mjera je koeficijent ubrzane likvidnosti, a njegova bi vrijednost trebala biti veća od 1, što bi značilo da bi poduzeće koje želi održavati normalnu likvidnost trebalo imati brzo unovčive imovine koliko ima kratkoročnih obaveza. Najznačajniji pokazatelji su koeficijent tekuće likvidnosti i koeficijent financijske stabilnosti. Koeficijent tekuće likvidnosti u pravilu bi trebao biti veći od 2, odnosno poduzeće mora imati minimalno dvostruko više kratkoročne imovine nego kratkoročnih obaveza. </w:t>
      </w:r>
    </w:p>
    <w:p w14:paraId="2D22D39A" w14:textId="77777777" w:rsidR="00A54E1B" w:rsidRPr="000138C1" w:rsidRDefault="00A54E1B" w:rsidP="00A54E1B">
      <w:pPr>
        <w:spacing w:line="360" w:lineRule="auto"/>
      </w:pPr>
      <w:r w:rsidRPr="000138C1">
        <w:t>Kroz promatrano razdoblje vrijednosti su iznad svojih empirijskih vrijednosti, odnosno da društvo dio svoje dugotrajne imovine financira iz kratkoročnih izvora i jedan je od pokazatelja da nema krize u poslovanju.</w:t>
      </w:r>
    </w:p>
    <w:p w14:paraId="2C1C8EA4" w14:textId="77777777" w:rsidR="00A54E1B" w:rsidRPr="00B732FA" w:rsidRDefault="00A54E1B" w:rsidP="00A54E1B">
      <w:pPr>
        <w:spacing w:line="360" w:lineRule="auto"/>
        <w:rPr>
          <w:rFonts w:ascii="Arial" w:hAnsi="Arial" w:cs="Arial"/>
          <w:b/>
          <w:sz w:val="20"/>
          <w:szCs w:val="20"/>
        </w:rPr>
      </w:pPr>
    </w:p>
    <w:p w14:paraId="5E98FF4B" w14:textId="77777777" w:rsidR="00A54E1B" w:rsidRPr="000138C1" w:rsidRDefault="00A54E1B" w:rsidP="00A54E1B">
      <w:pPr>
        <w:spacing w:line="360" w:lineRule="auto"/>
        <w:rPr>
          <w:b/>
        </w:rPr>
      </w:pPr>
      <w:r w:rsidRPr="000138C1">
        <w:rPr>
          <w:b/>
        </w:rPr>
        <w:t>POKAZATELJI AKTIVNOSTI</w:t>
      </w:r>
    </w:p>
    <w:p w14:paraId="2E86D8A8" w14:textId="77777777" w:rsidR="00A54E1B" w:rsidRPr="000138C1" w:rsidRDefault="00A54E1B" w:rsidP="00A54E1B">
      <w:pPr>
        <w:spacing w:line="360" w:lineRule="auto"/>
      </w:pPr>
      <w:r w:rsidRPr="000138C1">
        <w:rPr>
          <w:b/>
        </w:rPr>
        <w:t>Koeficijent obrtaja potraživanja od kupaca</w:t>
      </w:r>
      <w:r w:rsidRPr="000138C1">
        <w:t xml:space="preserve"> = prihodi od prodaje/potraživanja</w:t>
      </w:r>
    </w:p>
    <w:p w14:paraId="06327AE7" w14:textId="77777777" w:rsidR="00A54E1B" w:rsidRPr="000138C1" w:rsidRDefault="00A54E1B" w:rsidP="00A54E1B">
      <w:pPr>
        <w:spacing w:line="360" w:lineRule="auto"/>
      </w:pPr>
      <w:r w:rsidRPr="000138C1">
        <w:t>Koeficijent obrta potraživanja  pokazuje koliko se puta godišnje potraživanja naplate tj. pretvore u novac. Trajanje naplate potraživanja u danima računa se upravo na temelju ovog koeficijenta.</w:t>
      </w:r>
    </w:p>
    <w:p w14:paraId="59A1A989" w14:textId="77777777" w:rsidR="00A54E1B" w:rsidRPr="000138C1" w:rsidRDefault="00A54E1B" w:rsidP="00A54E1B">
      <w:pPr>
        <w:spacing w:line="360" w:lineRule="auto"/>
      </w:pPr>
      <w:r w:rsidRPr="000138C1">
        <w:t>Koeficijent obrtaja u 2017.godini je 1,937, u 2018. je 1,934, a u 2019. je 2,155.</w:t>
      </w:r>
    </w:p>
    <w:p w14:paraId="29F1E0C3" w14:textId="77777777" w:rsidR="00A54E1B" w:rsidRPr="000138C1" w:rsidRDefault="00A54E1B" w:rsidP="00A54E1B">
      <w:pPr>
        <w:spacing w:line="360" w:lineRule="auto"/>
        <w:rPr>
          <w:b/>
        </w:rPr>
      </w:pPr>
    </w:p>
    <w:p w14:paraId="3F485336" w14:textId="77777777" w:rsidR="00A54E1B" w:rsidRPr="000138C1" w:rsidRDefault="00A54E1B" w:rsidP="00A54E1B">
      <w:pPr>
        <w:spacing w:line="360" w:lineRule="auto"/>
      </w:pPr>
      <w:r w:rsidRPr="000138C1">
        <w:rPr>
          <w:b/>
        </w:rPr>
        <w:t xml:space="preserve">Trajanje naplate u danima </w:t>
      </w:r>
      <w:r w:rsidRPr="000138C1">
        <w:t>= broj dana u godini/koeficijent obrtaja potraživanja</w:t>
      </w:r>
    </w:p>
    <w:p w14:paraId="54AD0533" w14:textId="77777777" w:rsidR="00A54E1B" w:rsidRPr="000138C1" w:rsidRDefault="00A54E1B" w:rsidP="00A54E1B">
      <w:pPr>
        <w:spacing w:line="360" w:lineRule="auto"/>
      </w:pPr>
      <w:r w:rsidRPr="000138C1">
        <w:t>Prosječni dani naplate potraživanja od kupaca u 2017.godini su 188 dana, u 2018.godini 188 dana, a u 2019.godini 169 dana.</w:t>
      </w:r>
    </w:p>
    <w:p w14:paraId="0CAD536A" w14:textId="77777777" w:rsidR="00A54E1B" w:rsidRPr="000138C1" w:rsidRDefault="00A54E1B" w:rsidP="00A54E1B">
      <w:pPr>
        <w:spacing w:line="360" w:lineRule="auto"/>
        <w:rPr>
          <w:b/>
        </w:rPr>
      </w:pPr>
    </w:p>
    <w:p w14:paraId="7065D3D6" w14:textId="77777777" w:rsidR="00A54E1B" w:rsidRPr="000138C1" w:rsidRDefault="00A54E1B" w:rsidP="00A54E1B">
      <w:pPr>
        <w:spacing w:line="360" w:lineRule="auto"/>
      </w:pPr>
      <w:r w:rsidRPr="000138C1">
        <w:rPr>
          <w:b/>
        </w:rPr>
        <w:t xml:space="preserve">Prosječni dani plaćanja obveza prema dobavljačima </w:t>
      </w:r>
      <w:r w:rsidRPr="000138C1">
        <w:t xml:space="preserve">= </w:t>
      </w:r>
      <w:proofErr w:type="spellStart"/>
      <w:r w:rsidRPr="000138C1">
        <w:t>Kratk.obveze</w:t>
      </w:r>
      <w:proofErr w:type="spellEnd"/>
      <w:r w:rsidRPr="000138C1">
        <w:t xml:space="preserve"> prema dobavlj.* broj dana u </w:t>
      </w:r>
      <w:proofErr w:type="spellStart"/>
      <w:r w:rsidRPr="000138C1">
        <w:t>razd</w:t>
      </w:r>
      <w:proofErr w:type="spellEnd"/>
      <w:r w:rsidRPr="000138C1">
        <w:t xml:space="preserve">. / Materijalni rashodi </w:t>
      </w:r>
    </w:p>
    <w:p w14:paraId="0D7C99C7" w14:textId="77777777" w:rsidR="00A54E1B" w:rsidRPr="000138C1" w:rsidRDefault="00A54E1B" w:rsidP="00A54E1B">
      <w:pPr>
        <w:spacing w:line="360" w:lineRule="auto"/>
      </w:pPr>
      <w:r w:rsidRPr="000138C1">
        <w:t xml:space="preserve">U 2017.godini 23 dana, u 2018.godini 55 dana, a u 2019.godini 13 dana. </w:t>
      </w:r>
    </w:p>
    <w:p w14:paraId="00242377" w14:textId="77777777" w:rsidR="00A54E1B" w:rsidRPr="000138C1" w:rsidRDefault="00A54E1B" w:rsidP="00A54E1B">
      <w:pPr>
        <w:spacing w:line="360" w:lineRule="auto"/>
      </w:pPr>
      <w:r w:rsidRPr="000138C1">
        <w:t>Iako duže „kreditiramo kupce“ (kasne s plaćanjem ) svoje obveze uredno podmirujemo, u 2019.godini vidljivo je  plaćanje dobavljača čak i prije dospijeća.</w:t>
      </w:r>
    </w:p>
    <w:p w14:paraId="05713A3E" w14:textId="77777777" w:rsidR="00A54E1B" w:rsidRDefault="00A54E1B" w:rsidP="00A54E1B">
      <w:pPr>
        <w:rPr>
          <w:rFonts w:ascii="Arial" w:eastAsia="Calibri" w:hAnsi="Arial" w:cs="Arial"/>
          <w:b/>
          <w:color w:val="FF0000"/>
        </w:rPr>
      </w:pPr>
    </w:p>
    <w:p w14:paraId="63D3FDDE" w14:textId="77777777" w:rsidR="00A54E1B" w:rsidRPr="000138C1" w:rsidRDefault="00A54E1B" w:rsidP="00A54E1B">
      <w:pPr>
        <w:rPr>
          <w:rFonts w:eastAsia="Calibri"/>
          <w:b/>
        </w:rPr>
      </w:pPr>
      <w:r w:rsidRPr="000138C1">
        <w:rPr>
          <w:rFonts w:eastAsia="Calibri"/>
          <w:b/>
        </w:rPr>
        <w:t xml:space="preserve">ANALIZA FINANCIJSKE STABILNOSTI   </w:t>
      </w:r>
    </w:p>
    <w:p w14:paraId="56BF0F57" w14:textId="77777777" w:rsidR="00A54E1B" w:rsidRDefault="00A54E1B" w:rsidP="00A54E1B">
      <w:pPr>
        <w:rPr>
          <w:rFonts w:ascii="Arial" w:eastAsia="Calibri" w:hAnsi="Arial" w:cs="Arial"/>
          <w:b/>
          <w:color w:val="FF0000"/>
          <w:sz w:val="20"/>
          <w:szCs w:val="20"/>
        </w:rPr>
      </w:pPr>
    </w:p>
    <w:p w14:paraId="7ABC608E" w14:textId="77777777" w:rsidR="00A54E1B" w:rsidRPr="00B732FA" w:rsidRDefault="00A54E1B" w:rsidP="00A54E1B">
      <w:pPr>
        <w:rPr>
          <w:rFonts w:ascii="Arial" w:eastAsia="Calibri" w:hAnsi="Arial" w:cs="Arial"/>
          <w:b/>
          <w:color w:val="FF0000"/>
          <w:sz w:val="20"/>
          <w:szCs w:val="20"/>
        </w:rPr>
      </w:pPr>
      <w:r>
        <w:rPr>
          <w:rFonts w:eastAsia="Calibri"/>
          <w:noProof/>
        </w:rPr>
        <w:lastRenderedPageBreak/>
        <w:drawing>
          <wp:inline distT="0" distB="0" distL="0" distR="0" wp14:anchorId="6F405095" wp14:editId="1160483C">
            <wp:extent cx="6261100" cy="15887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1588770"/>
                    </a:xfrm>
                    <a:prstGeom prst="rect">
                      <a:avLst/>
                    </a:prstGeom>
                    <a:noFill/>
                    <a:ln>
                      <a:noFill/>
                    </a:ln>
                  </pic:spPr>
                </pic:pic>
              </a:graphicData>
            </a:graphic>
          </wp:inline>
        </w:drawing>
      </w:r>
    </w:p>
    <w:p w14:paraId="27D133A1" w14:textId="77777777" w:rsidR="00A54E1B" w:rsidRDefault="00A54E1B" w:rsidP="00A54E1B">
      <w:pPr>
        <w:spacing w:line="360" w:lineRule="auto"/>
        <w:rPr>
          <w:rFonts w:ascii="Arial" w:hAnsi="Arial" w:cs="Arial"/>
          <w:sz w:val="20"/>
          <w:szCs w:val="20"/>
        </w:rPr>
      </w:pPr>
    </w:p>
    <w:p w14:paraId="1FB66DB3" w14:textId="77777777" w:rsidR="00A54E1B" w:rsidRPr="000138C1" w:rsidRDefault="00A54E1B" w:rsidP="00A54E1B">
      <w:pPr>
        <w:spacing w:line="360" w:lineRule="auto"/>
      </w:pPr>
      <w:r w:rsidRPr="000138C1">
        <w:t xml:space="preserve">Stupanj pokrića I pokazuje stupanj pokrića dugotrajne imovine kapitalom, odnosno glavnicom uvećanom za dugoročne obveze (stupanj pokrića II). Za oba pokazatelja vrijednost bi trebala biti veća od 1, ili oko 1. Stupanj pokrića I pokazuje stupanj financiranja dugotrajne imovine iz dugoročnih obveza, bilo vlastitih (temeljni kapital, pričuve) ili tuđih (bankarski krediti). </w:t>
      </w:r>
    </w:p>
    <w:p w14:paraId="349B2712" w14:textId="77777777" w:rsidR="00A54E1B" w:rsidRPr="00462D0E" w:rsidRDefault="00A54E1B" w:rsidP="00462D0E">
      <w:pPr>
        <w:spacing w:line="360" w:lineRule="auto"/>
      </w:pPr>
      <w:r w:rsidRPr="000138C1">
        <w:t>Stupanj pokrića II govori o stupnju pokrića dugotrajne imovine glavnicom uvećanom za dugoročne obveze. Kroz promatrana razdoblja stupnjevi pokrića pokazuju odličnu financijsku stabilnost društva.</w:t>
      </w:r>
    </w:p>
    <w:p w14:paraId="3F36BC79" w14:textId="77777777" w:rsidR="00A54E1B" w:rsidRDefault="00A54E1B" w:rsidP="00A54E1B">
      <w:pPr>
        <w:rPr>
          <w:rFonts w:ascii="Arial" w:eastAsia="Calibri" w:hAnsi="Arial" w:cs="Arial"/>
          <w:b/>
          <w:color w:val="FF0000"/>
        </w:rPr>
      </w:pPr>
    </w:p>
    <w:p w14:paraId="31E94D1E" w14:textId="77777777" w:rsidR="00A54E1B" w:rsidRDefault="00A54E1B" w:rsidP="00A54E1B">
      <w:pPr>
        <w:rPr>
          <w:rFonts w:ascii="Arial" w:eastAsia="Calibri" w:hAnsi="Arial" w:cs="Arial"/>
          <w:b/>
          <w:color w:val="FF0000"/>
        </w:rPr>
      </w:pPr>
    </w:p>
    <w:p w14:paraId="5E404599" w14:textId="77777777" w:rsidR="00A54E1B" w:rsidRPr="000138C1" w:rsidRDefault="00A54E1B" w:rsidP="00A54E1B">
      <w:pPr>
        <w:rPr>
          <w:rFonts w:eastAsia="Calibri"/>
          <w:b/>
        </w:rPr>
      </w:pPr>
      <w:r w:rsidRPr="000138C1">
        <w:rPr>
          <w:rFonts w:eastAsia="Calibri"/>
          <w:b/>
        </w:rPr>
        <w:t>ANALIZA USPJEHA</w:t>
      </w:r>
    </w:p>
    <w:p w14:paraId="62BAE648" w14:textId="77777777" w:rsidR="00A54E1B" w:rsidRDefault="00A54E1B" w:rsidP="00A54E1B">
      <w:pPr>
        <w:spacing w:line="360" w:lineRule="auto"/>
        <w:rPr>
          <w:rFonts w:ascii="Arial" w:hAnsi="Arial" w:cs="Arial"/>
          <w:sz w:val="20"/>
          <w:szCs w:val="20"/>
        </w:rPr>
      </w:pPr>
    </w:p>
    <w:p w14:paraId="372140FB" w14:textId="77777777" w:rsidR="00A54E1B" w:rsidRDefault="00A54E1B" w:rsidP="00A54E1B">
      <w:pPr>
        <w:spacing w:line="360" w:lineRule="auto"/>
      </w:pPr>
      <w:r>
        <w:rPr>
          <w:noProof/>
        </w:rPr>
        <w:drawing>
          <wp:inline distT="0" distB="0" distL="0" distR="0" wp14:anchorId="35BFF30D" wp14:editId="1FDBF79E">
            <wp:extent cx="6261100" cy="280543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0" cy="2805430"/>
                    </a:xfrm>
                    <a:prstGeom prst="rect">
                      <a:avLst/>
                    </a:prstGeom>
                    <a:noFill/>
                    <a:ln>
                      <a:noFill/>
                    </a:ln>
                  </pic:spPr>
                </pic:pic>
              </a:graphicData>
            </a:graphic>
          </wp:inline>
        </w:drawing>
      </w:r>
    </w:p>
    <w:p w14:paraId="11C6BB72" w14:textId="77777777" w:rsidR="003554A9" w:rsidRDefault="003554A9" w:rsidP="00A54E1B">
      <w:pPr>
        <w:spacing w:line="360" w:lineRule="auto"/>
      </w:pPr>
    </w:p>
    <w:p w14:paraId="1011CB39" w14:textId="77777777" w:rsidR="00A54E1B" w:rsidRPr="000138C1" w:rsidRDefault="00A54E1B" w:rsidP="00A54E1B">
      <w:pPr>
        <w:spacing w:line="360" w:lineRule="auto"/>
      </w:pPr>
      <w:r w:rsidRPr="000138C1">
        <w:t>Kroz promatrano razdoblje društvo posluje ekonomično.</w:t>
      </w:r>
    </w:p>
    <w:p w14:paraId="15AE1623" w14:textId="77777777" w:rsidR="00A54E1B" w:rsidRDefault="00A54E1B" w:rsidP="00A54E1B">
      <w:pPr>
        <w:spacing w:line="360" w:lineRule="auto"/>
        <w:rPr>
          <w:rFonts w:ascii="Arial" w:hAnsi="Arial" w:cs="Arial"/>
          <w:sz w:val="20"/>
          <w:szCs w:val="20"/>
        </w:rPr>
      </w:pPr>
    </w:p>
    <w:p w14:paraId="5293FAAE" w14:textId="77777777" w:rsidR="00A54E1B" w:rsidRDefault="00A54E1B" w:rsidP="00A54E1B">
      <w:pPr>
        <w:spacing w:line="360" w:lineRule="auto"/>
        <w:rPr>
          <w:rFonts w:ascii="Arial" w:hAnsi="Arial" w:cs="Arial"/>
          <w:sz w:val="20"/>
          <w:szCs w:val="20"/>
        </w:rPr>
      </w:pPr>
    </w:p>
    <w:p w14:paraId="1204C75F" w14:textId="77777777" w:rsidR="00A54E1B" w:rsidRDefault="00A54E1B" w:rsidP="00A54E1B">
      <w:pPr>
        <w:spacing w:line="360" w:lineRule="auto"/>
      </w:pPr>
      <w:r>
        <w:rPr>
          <w:noProof/>
        </w:rPr>
        <w:lastRenderedPageBreak/>
        <w:drawing>
          <wp:inline distT="0" distB="0" distL="0" distR="0" wp14:anchorId="54B71D39" wp14:editId="0FE8EFB9">
            <wp:extent cx="6261100" cy="54991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1100" cy="549910"/>
                    </a:xfrm>
                    <a:prstGeom prst="rect">
                      <a:avLst/>
                    </a:prstGeom>
                    <a:noFill/>
                    <a:ln>
                      <a:noFill/>
                    </a:ln>
                  </pic:spPr>
                </pic:pic>
              </a:graphicData>
            </a:graphic>
          </wp:inline>
        </w:drawing>
      </w:r>
    </w:p>
    <w:p w14:paraId="5C61390A" w14:textId="77777777" w:rsidR="00A54E1B" w:rsidRPr="000138C1" w:rsidRDefault="00A54E1B" w:rsidP="00A54E1B">
      <w:pPr>
        <w:spacing w:line="360" w:lineRule="auto"/>
      </w:pPr>
      <w:r w:rsidRPr="000138C1">
        <w:t>Analizom proizvodnosti uočen je rast prihoda po zaposlenom. Kako društvo ostvaruje veću dobit u poslovanju tako se povećava i prihod po zaposlenom. Smanjenjem broja zaposlenih ostvareni su veći prihodi u 2019.godini, ali treba uzeti u obzir razne faktore koji su utjecali na to kao organizacija rada, planiranje radnih procesa, uključenost svih djelatnika sa svim raspoloživim radnim sredstvima..</w:t>
      </w:r>
    </w:p>
    <w:p w14:paraId="18D610F2" w14:textId="77777777" w:rsidR="00A54E1B" w:rsidRDefault="00A54E1B" w:rsidP="00A54E1B">
      <w:pPr>
        <w:rPr>
          <w:rFonts w:eastAsia="Calibri"/>
          <w:b/>
          <w:color w:val="FF0000"/>
        </w:rPr>
      </w:pPr>
    </w:p>
    <w:p w14:paraId="6754E55C" w14:textId="77777777" w:rsidR="00462D0E" w:rsidRDefault="00462D0E" w:rsidP="00A54E1B">
      <w:pPr>
        <w:rPr>
          <w:rFonts w:eastAsia="Calibri"/>
          <w:b/>
          <w:color w:val="FF0000"/>
        </w:rPr>
      </w:pPr>
    </w:p>
    <w:p w14:paraId="3EEFE545" w14:textId="77777777" w:rsidR="00462D0E" w:rsidRDefault="00462D0E" w:rsidP="00A54E1B">
      <w:pPr>
        <w:rPr>
          <w:rFonts w:eastAsia="Calibri"/>
          <w:b/>
          <w:color w:val="FF0000"/>
        </w:rPr>
      </w:pPr>
    </w:p>
    <w:p w14:paraId="143B62A8" w14:textId="77777777" w:rsidR="00462D0E" w:rsidRPr="000138C1" w:rsidRDefault="00462D0E" w:rsidP="00A54E1B">
      <w:pPr>
        <w:rPr>
          <w:rFonts w:eastAsia="Calibri"/>
          <w:b/>
          <w:color w:val="FF0000"/>
        </w:rPr>
      </w:pPr>
    </w:p>
    <w:p w14:paraId="454491A9" w14:textId="77777777" w:rsidR="00A54E1B" w:rsidRPr="00B732FA" w:rsidRDefault="00A54E1B" w:rsidP="00A54E1B">
      <w:pPr>
        <w:rPr>
          <w:rFonts w:ascii="Arial" w:eastAsia="Calibri" w:hAnsi="Arial" w:cs="Arial"/>
          <w:b/>
          <w:color w:val="FF0000"/>
          <w:sz w:val="20"/>
          <w:szCs w:val="20"/>
        </w:rPr>
      </w:pPr>
      <w:r>
        <w:rPr>
          <w:rFonts w:ascii="Arial" w:eastAsia="Calibri" w:hAnsi="Arial" w:cs="Arial"/>
          <w:b/>
          <w:noProof/>
          <w:color w:val="FF0000"/>
          <w:sz w:val="20"/>
          <w:szCs w:val="20"/>
        </w:rPr>
        <w:drawing>
          <wp:inline distT="0" distB="0" distL="0" distR="0" wp14:anchorId="764141C7" wp14:editId="40856AA0">
            <wp:extent cx="6289675" cy="2676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9675" cy="2676525"/>
                    </a:xfrm>
                    <a:prstGeom prst="rect">
                      <a:avLst/>
                    </a:prstGeom>
                    <a:noFill/>
                  </pic:spPr>
                </pic:pic>
              </a:graphicData>
            </a:graphic>
          </wp:inline>
        </w:drawing>
      </w:r>
    </w:p>
    <w:p w14:paraId="7294D6EF" w14:textId="77777777" w:rsidR="00A54E1B" w:rsidRPr="00B732FA" w:rsidRDefault="00A54E1B" w:rsidP="00A54E1B">
      <w:pPr>
        <w:rPr>
          <w:rFonts w:ascii="Arial" w:hAnsi="Arial" w:cs="Arial"/>
          <w:sz w:val="20"/>
          <w:szCs w:val="20"/>
        </w:rPr>
      </w:pPr>
    </w:p>
    <w:p w14:paraId="53068729" w14:textId="77777777" w:rsidR="00A54E1B" w:rsidRPr="00B732FA" w:rsidRDefault="00A54E1B" w:rsidP="00A54E1B">
      <w:pPr>
        <w:rPr>
          <w:rFonts w:ascii="Arial" w:hAnsi="Arial" w:cs="Arial"/>
          <w:sz w:val="20"/>
          <w:szCs w:val="20"/>
        </w:rPr>
      </w:pPr>
    </w:p>
    <w:p w14:paraId="3C7BFEF2" w14:textId="77777777" w:rsidR="00A54E1B" w:rsidRDefault="00A54E1B" w:rsidP="00A54E1B">
      <w:r w:rsidRPr="000138C1">
        <w:t>Vidljivo je da društvo u sve 3 godine prihode ostvaruje iz poslovnih prihoda.</w:t>
      </w:r>
    </w:p>
    <w:p w14:paraId="7BF05597" w14:textId="77777777" w:rsidR="00A54E1B" w:rsidRDefault="00A54E1B" w:rsidP="00A54E1B"/>
    <w:p w14:paraId="4E106D3A" w14:textId="77777777" w:rsidR="00A54E1B" w:rsidRPr="000138C1" w:rsidRDefault="00A54E1B" w:rsidP="00A54E1B">
      <w:pPr>
        <w:rPr>
          <w:rFonts w:eastAsia="Calibri"/>
          <w:b/>
          <w:color w:val="FF0000"/>
        </w:rPr>
      </w:pPr>
    </w:p>
    <w:p w14:paraId="673B2F26" w14:textId="77777777" w:rsidR="00A54E1B" w:rsidRPr="00B732FA" w:rsidRDefault="00A54E1B" w:rsidP="00A54E1B">
      <w:pPr>
        <w:rPr>
          <w:rFonts w:ascii="Arial" w:eastAsia="Calibri" w:hAnsi="Arial" w:cs="Arial"/>
          <w:b/>
          <w:color w:val="FF0000"/>
          <w:sz w:val="20"/>
          <w:szCs w:val="20"/>
        </w:rPr>
      </w:pPr>
    </w:p>
    <w:p w14:paraId="648C9FEA" w14:textId="77777777" w:rsidR="00A54E1B" w:rsidRPr="00B732FA" w:rsidRDefault="00A54E1B" w:rsidP="00A54E1B">
      <w:pPr>
        <w:rPr>
          <w:rFonts w:ascii="Arial" w:hAnsi="Arial" w:cs="Arial"/>
          <w:sz w:val="20"/>
          <w:szCs w:val="20"/>
        </w:rPr>
      </w:pPr>
      <w:r>
        <w:rPr>
          <w:rFonts w:ascii="Arial" w:hAnsi="Arial" w:cs="Arial"/>
          <w:noProof/>
          <w:sz w:val="20"/>
          <w:szCs w:val="20"/>
        </w:rPr>
        <w:lastRenderedPageBreak/>
        <w:drawing>
          <wp:inline distT="0" distB="0" distL="0" distR="0" wp14:anchorId="5958555D" wp14:editId="2CCFB770">
            <wp:extent cx="6331585" cy="314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1585" cy="3144520"/>
                    </a:xfrm>
                    <a:prstGeom prst="rect">
                      <a:avLst/>
                    </a:prstGeom>
                    <a:noFill/>
                  </pic:spPr>
                </pic:pic>
              </a:graphicData>
            </a:graphic>
          </wp:inline>
        </w:drawing>
      </w:r>
    </w:p>
    <w:p w14:paraId="01DFCF6B" w14:textId="77777777" w:rsidR="00A54E1B" w:rsidRPr="00B732FA" w:rsidRDefault="00A54E1B" w:rsidP="00A54E1B">
      <w:pPr>
        <w:rPr>
          <w:rFonts w:ascii="Arial" w:hAnsi="Arial" w:cs="Arial"/>
          <w:sz w:val="20"/>
          <w:szCs w:val="20"/>
        </w:rPr>
      </w:pPr>
    </w:p>
    <w:p w14:paraId="0224F592" w14:textId="77777777" w:rsidR="00A54E1B" w:rsidRPr="000138C1" w:rsidRDefault="00A54E1B" w:rsidP="00A54E1B">
      <w:r w:rsidRPr="000138C1">
        <w:t>Rashodi bilježe rast u sve tri promatrane godine, i poslovni i financijski.</w:t>
      </w:r>
    </w:p>
    <w:p w14:paraId="5EED9045" w14:textId="77777777" w:rsidR="00A54E1B" w:rsidRPr="000138C1" w:rsidRDefault="00A54E1B" w:rsidP="00A54E1B"/>
    <w:p w14:paraId="5AC49AAD" w14:textId="77777777" w:rsidR="00A54E1B" w:rsidRPr="00B732FA" w:rsidRDefault="00A54E1B" w:rsidP="00A54E1B">
      <w:pPr>
        <w:rPr>
          <w:rFonts w:ascii="Arial" w:hAnsi="Arial" w:cs="Arial"/>
          <w:sz w:val="20"/>
          <w:szCs w:val="20"/>
        </w:rPr>
      </w:pPr>
    </w:p>
    <w:p w14:paraId="436EBB76" w14:textId="77777777" w:rsidR="00A54E1B" w:rsidRDefault="00A54E1B" w:rsidP="00A54E1B">
      <w:pPr>
        <w:rPr>
          <w:rFonts w:ascii="Arial" w:hAnsi="Arial" w:cs="Arial"/>
          <w:b/>
          <w:color w:val="FF0000"/>
        </w:rPr>
      </w:pPr>
    </w:p>
    <w:p w14:paraId="0A1A64D4" w14:textId="77777777" w:rsidR="00A54E1B" w:rsidRDefault="00A54E1B" w:rsidP="00A54E1B">
      <w:pPr>
        <w:rPr>
          <w:rFonts w:ascii="Arial" w:hAnsi="Arial" w:cs="Arial"/>
          <w:b/>
          <w:color w:val="FF0000"/>
        </w:rPr>
      </w:pPr>
    </w:p>
    <w:p w14:paraId="319ACD04" w14:textId="77777777" w:rsidR="00A54E1B" w:rsidRDefault="00A54E1B" w:rsidP="00A54E1B">
      <w:pPr>
        <w:rPr>
          <w:rFonts w:ascii="Arial" w:hAnsi="Arial" w:cs="Arial"/>
          <w:b/>
          <w:color w:val="FF0000"/>
        </w:rPr>
      </w:pPr>
    </w:p>
    <w:p w14:paraId="1AB7EE8B" w14:textId="77777777" w:rsidR="00A54E1B" w:rsidRDefault="00A54E1B" w:rsidP="00A54E1B">
      <w:pPr>
        <w:rPr>
          <w:rFonts w:ascii="Arial" w:hAnsi="Arial" w:cs="Arial"/>
          <w:b/>
          <w:color w:val="FF0000"/>
        </w:rPr>
      </w:pPr>
    </w:p>
    <w:p w14:paraId="1D47070A" w14:textId="77777777" w:rsidR="00A54E1B" w:rsidRDefault="00A54E1B" w:rsidP="00A54E1B">
      <w:pPr>
        <w:rPr>
          <w:rFonts w:ascii="Arial" w:hAnsi="Arial" w:cs="Arial"/>
          <w:b/>
          <w:color w:val="FF0000"/>
        </w:rPr>
      </w:pPr>
    </w:p>
    <w:p w14:paraId="48E5DB7B" w14:textId="77777777" w:rsidR="00A54E1B" w:rsidRDefault="00A54E1B" w:rsidP="00A54E1B">
      <w:pPr>
        <w:rPr>
          <w:rFonts w:ascii="Arial" w:hAnsi="Arial" w:cs="Arial"/>
          <w:b/>
          <w:color w:val="FF0000"/>
        </w:rPr>
      </w:pPr>
    </w:p>
    <w:p w14:paraId="3521D726" w14:textId="77777777" w:rsidR="00A54E1B" w:rsidRPr="000138C1" w:rsidRDefault="00A54E1B" w:rsidP="00A54E1B">
      <w:pPr>
        <w:rPr>
          <w:b/>
        </w:rPr>
      </w:pPr>
      <w:r w:rsidRPr="000138C1">
        <w:rPr>
          <w:b/>
        </w:rPr>
        <w:t>ANALIZA RENTABILNOSTI</w:t>
      </w:r>
    </w:p>
    <w:p w14:paraId="6E47A1FF" w14:textId="77777777" w:rsidR="00A54E1B" w:rsidRPr="00B732FA" w:rsidRDefault="00A54E1B" w:rsidP="00A54E1B">
      <w:pPr>
        <w:rPr>
          <w:rFonts w:ascii="Arial" w:eastAsia="Calibri" w:hAnsi="Arial" w:cs="Arial"/>
          <w:b/>
          <w:color w:val="FF0000"/>
          <w:sz w:val="20"/>
          <w:szCs w:val="20"/>
        </w:rPr>
      </w:pPr>
    </w:p>
    <w:p w14:paraId="4D1EA1A2" w14:textId="77777777" w:rsidR="00A54E1B" w:rsidRPr="00B732FA" w:rsidRDefault="00A54E1B" w:rsidP="00A54E1B">
      <w:pPr>
        <w:rPr>
          <w:rFonts w:ascii="Arial" w:eastAsia="Calibri" w:hAnsi="Arial" w:cs="Arial"/>
          <w:b/>
          <w:color w:val="FF0000"/>
          <w:sz w:val="20"/>
          <w:szCs w:val="20"/>
        </w:rPr>
      </w:pPr>
      <w:r>
        <w:rPr>
          <w:rFonts w:eastAsia="Calibri"/>
          <w:noProof/>
        </w:rPr>
        <w:drawing>
          <wp:inline distT="0" distB="0" distL="0" distR="0" wp14:anchorId="37BD17AF" wp14:editId="6C425FCD">
            <wp:extent cx="6261100" cy="3006725"/>
            <wp:effectExtent l="0" t="0" r="635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1100" cy="3006725"/>
                    </a:xfrm>
                    <a:prstGeom prst="rect">
                      <a:avLst/>
                    </a:prstGeom>
                    <a:noFill/>
                    <a:ln>
                      <a:noFill/>
                    </a:ln>
                  </pic:spPr>
                </pic:pic>
              </a:graphicData>
            </a:graphic>
          </wp:inline>
        </w:drawing>
      </w:r>
    </w:p>
    <w:tbl>
      <w:tblPr>
        <w:tblW w:w="10368" w:type="dxa"/>
        <w:tblInd w:w="93" w:type="dxa"/>
        <w:tblLook w:val="04A0" w:firstRow="1" w:lastRow="0" w:firstColumn="1" w:lastColumn="0" w:noHBand="0" w:noVBand="1"/>
      </w:tblPr>
      <w:tblGrid>
        <w:gridCol w:w="10368"/>
      </w:tblGrid>
      <w:tr w:rsidR="00A54E1B" w:rsidRPr="00B732FA" w14:paraId="3F9C6B5D" w14:textId="77777777" w:rsidTr="00D82E30">
        <w:trPr>
          <w:trHeight w:val="310"/>
        </w:trPr>
        <w:tc>
          <w:tcPr>
            <w:tcW w:w="10368" w:type="dxa"/>
            <w:tcBorders>
              <w:top w:val="nil"/>
              <w:left w:val="nil"/>
              <w:bottom w:val="nil"/>
              <w:right w:val="nil"/>
            </w:tcBorders>
            <w:shd w:val="clear" w:color="auto" w:fill="auto"/>
            <w:noWrap/>
            <w:vAlign w:val="bottom"/>
            <w:hideMark/>
          </w:tcPr>
          <w:p w14:paraId="2B2B9035" w14:textId="77777777" w:rsidR="00A54E1B" w:rsidRPr="00B732FA" w:rsidRDefault="00A54E1B" w:rsidP="00D82E30">
            <w:pPr>
              <w:spacing w:line="360" w:lineRule="auto"/>
              <w:rPr>
                <w:rFonts w:ascii="Arial" w:hAnsi="Arial" w:cs="Arial"/>
                <w:sz w:val="20"/>
                <w:szCs w:val="20"/>
              </w:rPr>
            </w:pPr>
          </w:p>
          <w:p w14:paraId="4147F840" w14:textId="77777777" w:rsidR="00A54E1B" w:rsidRDefault="00A54E1B" w:rsidP="00D82E30">
            <w:pPr>
              <w:spacing w:line="360" w:lineRule="auto"/>
            </w:pPr>
            <w:r w:rsidRPr="000138C1">
              <w:lastRenderedPageBreak/>
              <w:t xml:space="preserve">Pokazatelji rentabilnosti izražavaju snagu zarade društva, odnosno pokazuju ukupni efekt likvidnosti, upravljanja imovinom i dugom na mogućnost ostvarenja profita. Rentabilnost prometa i rentabilnost ukupnog ulaganja samo je u 2018.godini bila ispod empirijske vrijednosti, a u 2019.godini rentabilnost </w:t>
            </w:r>
          </w:p>
          <w:p w14:paraId="010B9588" w14:textId="77777777" w:rsidR="00A54E1B" w:rsidRDefault="00A54E1B" w:rsidP="00D82E30">
            <w:pPr>
              <w:spacing w:line="360" w:lineRule="auto"/>
              <w:rPr>
                <w:rFonts w:ascii="Arial" w:hAnsi="Arial" w:cs="Arial"/>
                <w:sz w:val="20"/>
                <w:szCs w:val="20"/>
              </w:rPr>
            </w:pPr>
            <w:r w:rsidRPr="000138C1">
              <w:t>se popela do odgovarajuće</w:t>
            </w:r>
            <w:r w:rsidRPr="00B732FA">
              <w:rPr>
                <w:rFonts w:ascii="Arial" w:hAnsi="Arial" w:cs="Arial"/>
                <w:sz w:val="20"/>
                <w:szCs w:val="20"/>
              </w:rPr>
              <w:t>.</w:t>
            </w:r>
          </w:p>
          <w:p w14:paraId="3474338F" w14:textId="77777777" w:rsidR="00A54E1B" w:rsidRDefault="00A54E1B" w:rsidP="00D82E30">
            <w:pPr>
              <w:spacing w:line="360" w:lineRule="auto"/>
              <w:rPr>
                <w:rFonts w:ascii="Arial" w:hAnsi="Arial" w:cs="Arial"/>
                <w:sz w:val="20"/>
                <w:szCs w:val="20"/>
              </w:rPr>
            </w:pPr>
          </w:p>
          <w:p w14:paraId="68EAD4C8" w14:textId="77777777" w:rsidR="00A54E1B" w:rsidRPr="000138C1" w:rsidRDefault="00A54E1B" w:rsidP="00D82E30">
            <w:pPr>
              <w:spacing w:line="360" w:lineRule="auto"/>
              <w:rPr>
                <w:b/>
              </w:rPr>
            </w:pPr>
            <w:r w:rsidRPr="000138C1">
              <w:rPr>
                <w:b/>
              </w:rPr>
              <w:t>POKAZATELJ ZADUŽENOSTI</w:t>
            </w:r>
          </w:p>
          <w:p w14:paraId="13F1EE37" w14:textId="77777777" w:rsidR="00A54E1B" w:rsidRDefault="00A54E1B" w:rsidP="00D82E30">
            <w:pPr>
              <w:spacing w:line="360" w:lineRule="auto"/>
              <w:rPr>
                <w:rFonts w:ascii="Arial" w:hAnsi="Arial" w:cs="Arial"/>
                <w:sz w:val="20"/>
                <w:szCs w:val="20"/>
              </w:rPr>
            </w:pPr>
          </w:p>
          <w:tbl>
            <w:tblPr>
              <w:tblW w:w="9602" w:type="dxa"/>
              <w:tblLook w:val="04A0" w:firstRow="1" w:lastRow="0" w:firstColumn="1" w:lastColumn="0" w:noHBand="0" w:noVBand="1"/>
            </w:tblPr>
            <w:tblGrid>
              <w:gridCol w:w="4223"/>
              <w:gridCol w:w="2364"/>
              <w:gridCol w:w="1297"/>
              <w:gridCol w:w="1718"/>
            </w:tblGrid>
            <w:tr w:rsidR="00A54E1B" w:rsidRPr="00414327" w14:paraId="763418C8" w14:textId="77777777" w:rsidTr="00D82E30">
              <w:trPr>
                <w:trHeight w:val="221"/>
              </w:trPr>
              <w:tc>
                <w:tcPr>
                  <w:tcW w:w="4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5ED7" w14:textId="77777777" w:rsidR="00A54E1B" w:rsidRPr="00414327" w:rsidRDefault="00A54E1B" w:rsidP="00D82E30">
                  <w:pPr>
                    <w:rPr>
                      <w:rFonts w:ascii="Arial" w:hAnsi="Arial" w:cs="Arial"/>
                    </w:rPr>
                  </w:pPr>
                  <w:r w:rsidRPr="00414327">
                    <w:rPr>
                      <w:rFonts w:ascii="Arial" w:hAnsi="Arial" w:cs="Arial"/>
                    </w:rPr>
                    <w:t> </w:t>
                  </w:r>
                </w:p>
              </w:tc>
              <w:tc>
                <w:tcPr>
                  <w:tcW w:w="2364" w:type="dxa"/>
                  <w:tcBorders>
                    <w:top w:val="single" w:sz="4" w:space="0" w:color="auto"/>
                    <w:left w:val="nil"/>
                    <w:bottom w:val="single" w:sz="4" w:space="0" w:color="auto"/>
                    <w:right w:val="single" w:sz="4" w:space="0" w:color="auto"/>
                  </w:tcBorders>
                  <w:shd w:val="clear" w:color="auto" w:fill="auto"/>
                  <w:noWrap/>
                  <w:vAlign w:val="center"/>
                  <w:hideMark/>
                </w:tcPr>
                <w:p w14:paraId="63DF340C" w14:textId="77777777" w:rsidR="00A54E1B" w:rsidRPr="00414327" w:rsidRDefault="00A54E1B" w:rsidP="00D82E30">
                  <w:pPr>
                    <w:jc w:val="center"/>
                    <w:rPr>
                      <w:rFonts w:ascii="Arial" w:hAnsi="Arial" w:cs="Arial"/>
                      <w:b/>
                      <w:bCs/>
                    </w:rPr>
                  </w:pPr>
                  <w:r w:rsidRPr="00414327">
                    <w:rPr>
                      <w:rFonts w:ascii="Arial" w:hAnsi="Arial" w:cs="Arial"/>
                      <w:b/>
                      <w:bCs/>
                    </w:rPr>
                    <w:t>2017</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14:paraId="04DC9751" w14:textId="77777777" w:rsidR="00A54E1B" w:rsidRPr="00414327" w:rsidRDefault="00A54E1B" w:rsidP="00D82E30">
                  <w:pPr>
                    <w:jc w:val="center"/>
                    <w:rPr>
                      <w:rFonts w:ascii="Arial" w:hAnsi="Arial" w:cs="Arial"/>
                      <w:b/>
                      <w:bCs/>
                    </w:rPr>
                  </w:pPr>
                  <w:r w:rsidRPr="00414327">
                    <w:rPr>
                      <w:rFonts w:ascii="Arial" w:hAnsi="Arial" w:cs="Arial"/>
                      <w:b/>
                      <w:bCs/>
                    </w:rPr>
                    <w:t>2018</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14:paraId="1DA5A192" w14:textId="77777777" w:rsidR="00A54E1B" w:rsidRPr="00414327" w:rsidRDefault="00A54E1B" w:rsidP="00D82E30">
                  <w:pPr>
                    <w:jc w:val="center"/>
                    <w:rPr>
                      <w:rFonts w:ascii="Arial" w:hAnsi="Arial" w:cs="Arial"/>
                      <w:b/>
                      <w:bCs/>
                    </w:rPr>
                  </w:pPr>
                  <w:r w:rsidRPr="00414327">
                    <w:rPr>
                      <w:rFonts w:ascii="Arial" w:hAnsi="Arial" w:cs="Arial"/>
                      <w:b/>
                      <w:bCs/>
                    </w:rPr>
                    <w:t>2019</w:t>
                  </w:r>
                </w:p>
              </w:tc>
            </w:tr>
            <w:tr w:rsidR="00A54E1B" w:rsidRPr="00414327" w14:paraId="6630C655" w14:textId="77777777" w:rsidTr="00D82E30">
              <w:trPr>
                <w:trHeight w:val="221"/>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14:paraId="47A79A15" w14:textId="77777777" w:rsidR="00A54E1B" w:rsidRPr="00414327" w:rsidRDefault="00A54E1B" w:rsidP="00D82E30">
                  <w:pPr>
                    <w:rPr>
                      <w:rFonts w:ascii="Arial" w:hAnsi="Arial" w:cs="Arial"/>
                      <w:b/>
                      <w:bCs/>
                    </w:rPr>
                  </w:pPr>
                  <w:r w:rsidRPr="00414327">
                    <w:rPr>
                      <w:rFonts w:ascii="Arial" w:hAnsi="Arial" w:cs="Arial"/>
                      <w:b/>
                      <w:bCs/>
                    </w:rPr>
                    <w:t>UKUPNE OBVEZE</w:t>
                  </w:r>
                </w:p>
              </w:tc>
              <w:tc>
                <w:tcPr>
                  <w:tcW w:w="2364" w:type="dxa"/>
                  <w:tcBorders>
                    <w:top w:val="nil"/>
                    <w:left w:val="nil"/>
                    <w:bottom w:val="single" w:sz="4" w:space="0" w:color="auto"/>
                    <w:right w:val="single" w:sz="4" w:space="0" w:color="auto"/>
                  </w:tcBorders>
                  <w:shd w:val="clear" w:color="auto" w:fill="auto"/>
                  <w:noWrap/>
                  <w:vAlign w:val="bottom"/>
                  <w:hideMark/>
                </w:tcPr>
                <w:p w14:paraId="03CEE0FD" w14:textId="77777777" w:rsidR="00A54E1B" w:rsidRPr="00414327" w:rsidRDefault="00A54E1B" w:rsidP="00D82E30">
                  <w:pPr>
                    <w:jc w:val="center"/>
                    <w:rPr>
                      <w:rFonts w:ascii="Arial" w:hAnsi="Arial" w:cs="Arial"/>
                    </w:rPr>
                  </w:pPr>
                  <w:r w:rsidRPr="00414327">
                    <w:rPr>
                      <w:rFonts w:ascii="Arial" w:hAnsi="Arial" w:cs="Arial"/>
                    </w:rPr>
                    <w:t>661.367</w:t>
                  </w:r>
                </w:p>
              </w:tc>
              <w:tc>
                <w:tcPr>
                  <w:tcW w:w="1297" w:type="dxa"/>
                  <w:tcBorders>
                    <w:top w:val="nil"/>
                    <w:left w:val="nil"/>
                    <w:bottom w:val="single" w:sz="4" w:space="0" w:color="auto"/>
                    <w:right w:val="single" w:sz="4" w:space="0" w:color="auto"/>
                  </w:tcBorders>
                  <w:shd w:val="clear" w:color="auto" w:fill="auto"/>
                  <w:noWrap/>
                  <w:vAlign w:val="bottom"/>
                  <w:hideMark/>
                </w:tcPr>
                <w:p w14:paraId="3299F6B8" w14:textId="77777777" w:rsidR="00A54E1B" w:rsidRPr="00414327" w:rsidRDefault="00A54E1B" w:rsidP="00D82E30">
                  <w:pPr>
                    <w:jc w:val="center"/>
                    <w:rPr>
                      <w:rFonts w:ascii="Arial" w:hAnsi="Arial" w:cs="Arial"/>
                    </w:rPr>
                  </w:pPr>
                  <w:r w:rsidRPr="00414327">
                    <w:rPr>
                      <w:rFonts w:ascii="Arial" w:hAnsi="Arial" w:cs="Arial"/>
                    </w:rPr>
                    <w:t>650.776</w:t>
                  </w:r>
                </w:p>
              </w:tc>
              <w:tc>
                <w:tcPr>
                  <w:tcW w:w="1718" w:type="dxa"/>
                  <w:tcBorders>
                    <w:top w:val="nil"/>
                    <w:left w:val="nil"/>
                    <w:bottom w:val="single" w:sz="4" w:space="0" w:color="auto"/>
                    <w:right w:val="single" w:sz="4" w:space="0" w:color="auto"/>
                  </w:tcBorders>
                  <w:shd w:val="clear" w:color="auto" w:fill="auto"/>
                  <w:noWrap/>
                  <w:vAlign w:val="center"/>
                  <w:hideMark/>
                </w:tcPr>
                <w:p w14:paraId="579ABC25" w14:textId="77777777" w:rsidR="00A54E1B" w:rsidRPr="00414327" w:rsidRDefault="00A54E1B" w:rsidP="00D82E30">
                  <w:pPr>
                    <w:jc w:val="center"/>
                    <w:rPr>
                      <w:rFonts w:ascii="Arial" w:hAnsi="Arial" w:cs="Arial"/>
                    </w:rPr>
                  </w:pPr>
                  <w:r w:rsidRPr="00414327">
                    <w:rPr>
                      <w:rFonts w:ascii="Arial" w:hAnsi="Arial" w:cs="Arial"/>
                    </w:rPr>
                    <w:t>946.744</w:t>
                  </w:r>
                </w:p>
              </w:tc>
            </w:tr>
            <w:tr w:rsidR="00A54E1B" w:rsidRPr="00414327" w14:paraId="565D394D" w14:textId="77777777" w:rsidTr="00D82E30">
              <w:trPr>
                <w:trHeight w:val="221"/>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14:paraId="7835A47C" w14:textId="77777777" w:rsidR="00A54E1B" w:rsidRPr="00414327" w:rsidRDefault="00A54E1B" w:rsidP="00D82E30">
                  <w:pPr>
                    <w:rPr>
                      <w:rFonts w:ascii="Arial" w:hAnsi="Arial" w:cs="Arial"/>
                      <w:b/>
                      <w:bCs/>
                    </w:rPr>
                  </w:pPr>
                  <w:r w:rsidRPr="00414327">
                    <w:rPr>
                      <w:rFonts w:ascii="Arial" w:hAnsi="Arial" w:cs="Arial"/>
                      <w:b/>
                      <w:bCs/>
                    </w:rPr>
                    <w:t>UKUPNA IMOVINA</w:t>
                  </w:r>
                </w:p>
              </w:tc>
              <w:tc>
                <w:tcPr>
                  <w:tcW w:w="2364" w:type="dxa"/>
                  <w:tcBorders>
                    <w:top w:val="nil"/>
                    <w:left w:val="nil"/>
                    <w:bottom w:val="single" w:sz="4" w:space="0" w:color="auto"/>
                    <w:right w:val="single" w:sz="4" w:space="0" w:color="auto"/>
                  </w:tcBorders>
                  <w:shd w:val="clear" w:color="auto" w:fill="auto"/>
                  <w:noWrap/>
                  <w:vAlign w:val="bottom"/>
                  <w:hideMark/>
                </w:tcPr>
                <w:p w14:paraId="3CF421AF" w14:textId="77777777" w:rsidR="00A54E1B" w:rsidRPr="00414327" w:rsidRDefault="00A54E1B" w:rsidP="00D82E30">
                  <w:pPr>
                    <w:jc w:val="center"/>
                    <w:rPr>
                      <w:rFonts w:ascii="Arial" w:hAnsi="Arial" w:cs="Arial"/>
                    </w:rPr>
                  </w:pPr>
                  <w:r w:rsidRPr="00414327">
                    <w:rPr>
                      <w:rFonts w:ascii="Arial" w:hAnsi="Arial" w:cs="Arial"/>
                    </w:rPr>
                    <w:t>4.353.446</w:t>
                  </w:r>
                </w:p>
              </w:tc>
              <w:tc>
                <w:tcPr>
                  <w:tcW w:w="1297" w:type="dxa"/>
                  <w:tcBorders>
                    <w:top w:val="nil"/>
                    <w:left w:val="nil"/>
                    <w:bottom w:val="single" w:sz="4" w:space="0" w:color="auto"/>
                    <w:right w:val="single" w:sz="4" w:space="0" w:color="auto"/>
                  </w:tcBorders>
                  <w:shd w:val="clear" w:color="auto" w:fill="auto"/>
                  <w:noWrap/>
                  <w:vAlign w:val="bottom"/>
                  <w:hideMark/>
                </w:tcPr>
                <w:p w14:paraId="7CBCFB21" w14:textId="77777777" w:rsidR="00A54E1B" w:rsidRPr="00414327" w:rsidRDefault="00A54E1B" w:rsidP="00D82E30">
                  <w:pPr>
                    <w:jc w:val="center"/>
                    <w:rPr>
                      <w:rFonts w:ascii="Arial" w:hAnsi="Arial" w:cs="Arial"/>
                    </w:rPr>
                  </w:pPr>
                  <w:r w:rsidRPr="00414327">
                    <w:rPr>
                      <w:rFonts w:ascii="Arial" w:hAnsi="Arial" w:cs="Arial"/>
                    </w:rPr>
                    <w:t>4.327.853</w:t>
                  </w:r>
                </w:p>
              </w:tc>
              <w:tc>
                <w:tcPr>
                  <w:tcW w:w="1718" w:type="dxa"/>
                  <w:tcBorders>
                    <w:top w:val="nil"/>
                    <w:left w:val="nil"/>
                    <w:bottom w:val="single" w:sz="4" w:space="0" w:color="auto"/>
                    <w:right w:val="single" w:sz="4" w:space="0" w:color="auto"/>
                  </w:tcBorders>
                  <w:shd w:val="clear" w:color="auto" w:fill="auto"/>
                  <w:noWrap/>
                  <w:vAlign w:val="center"/>
                  <w:hideMark/>
                </w:tcPr>
                <w:p w14:paraId="78FB28E8" w14:textId="77777777" w:rsidR="00A54E1B" w:rsidRPr="00414327" w:rsidRDefault="00A54E1B" w:rsidP="00D82E30">
                  <w:pPr>
                    <w:jc w:val="center"/>
                    <w:rPr>
                      <w:rFonts w:ascii="Arial" w:hAnsi="Arial" w:cs="Arial"/>
                    </w:rPr>
                  </w:pPr>
                  <w:r w:rsidRPr="00414327">
                    <w:rPr>
                      <w:rFonts w:ascii="Arial" w:hAnsi="Arial" w:cs="Arial"/>
                    </w:rPr>
                    <w:t>6.078.456</w:t>
                  </w:r>
                </w:p>
              </w:tc>
            </w:tr>
            <w:tr w:rsidR="00A54E1B" w:rsidRPr="00414327" w14:paraId="6E8CC31F" w14:textId="77777777" w:rsidTr="00D82E30">
              <w:trPr>
                <w:trHeight w:val="221"/>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14:paraId="516C23E6" w14:textId="77777777" w:rsidR="00A54E1B" w:rsidRPr="00414327" w:rsidRDefault="00A54E1B" w:rsidP="00D82E30">
                  <w:pPr>
                    <w:rPr>
                      <w:rFonts w:ascii="Arial" w:hAnsi="Arial" w:cs="Arial"/>
                      <w:b/>
                      <w:bCs/>
                    </w:rPr>
                  </w:pPr>
                  <w:r w:rsidRPr="00414327">
                    <w:rPr>
                      <w:rFonts w:ascii="Arial" w:hAnsi="Arial" w:cs="Arial"/>
                      <w:b/>
                      <w:bCs/>
                    </w:rPr>
                    <w:t>KOEFICIJENT ZADUŽENOSTI</w:t>
                  </w:r>
                </w:p>
              </w:tc>
              <w:tc>
                <w:tcPr>
                  <w:tcW w:w="2364" w:type="dxa"/>
                  <w:tcBorders>
                    <w:top w:val="nil"/>
                    <w:left w:val="nil"/>
                    <w:bottom w:val="single" w:sz="4" w:space="0" w:color="auto"/>
                    <w:right w:val="single" w:sz="4" w:space="0" w:color="auto"/>
                  </w:tcBorders>
                  <w:shd w:val="clear" w:color="auto" w:fill="auto"/>
                  <w:noWrap/>
                  <w:vAlign w:val="bottom"/>
                  <w:hideMark/>
                </w:tcPr>
                <w:p w14:paraId="3CAA2218" w14:textId="77777777" w:rsidR="00A54E1B" w:rsidRPr="00414327" w:rsidRDefault="00A54E1B" w:rsidP="00D82E30">
                  <w:pPr>
                    <w:jc w:val="center"/>
                    <w:rPr>
                      <w:rFonts w:ascii="Arial" w:hAnsi="Arial" w:cs="Arial"/>
                    </w:rPr>
                  </w:pPr>
                  <w:r w:rsidRPr="00414327">
                    <w:rPr>
                      <w:rFonts w:ascii="Arial" w:hAnsi="Arial" w:cs="Arial"/>
                    </w:rPr>
                    <w:t>0,15</w:t>
                  </w:r>
                </w:p>
              </w:tc>
              <w:tc>
                <w:tcPr>
                  <w:tcW w:w="1297" w:type="dxa"/>
                  <w:tcBorders>
                    <w:top w:val="nil"/>
                    <w:left w:val="nil"/>
                    <w:bottom w:val="single" w:sz="4" w:space="0" w:color="auto"/>
                    <w:right w:val="single" w:sz="4" w:space="0" w:color="auto"/>
                  </w:tcBorders>
                  <w:shd w:val="clear" w:color="auto" w:fill="auto"/>
                  <w:noWrap/>
                  <w:vAlign w:val="bottom"/>
                  <w:hideMark/>
                </w:tcPr>
                <w:p w14:paraId="65EAD001" w14:textId="77777777" w:rsidR="00A54E1B" w:rsidRPr="00414327" w:rsidRDefault="00A54E1B" w:rsidP="00D82E30">
                  <w:pPr>
                    <w:jc w:val="center"/>
                    <w:rPr>
                      <w:rFonts w:ascii="Arial" w:hAnsi="Arial" w:cs="Arial"/>
                    </w:rPr>
                  </w:pPr>
                  <w:r w:rsidRPr="00414327">
                    <w:rPr>
                      <w:rFonts w:ascii="Arial" w:hAnsi="Arial" w:cs="Arial"/>
                    </w:rPr>
                    <w:t>0,15</w:t>
                  </w:r>
                </w:p>
              </w:tc>
              <w:tc>
                <w:tcPr>
                  <w:tcW w:w="1718" w:type="dxa"/>
                  <w:tcBorders>
                    <w:top w:val="nil"/>
                    <w:left w:val="nil"/>
                    <w:bottom w:val="single" w:sz="4" w:space="0" w:color="auto"/>
                    <w:right w:val="single" w:sz="4" w:space="0" w:color="auto"/>
                  </w:tcBorders>
                  <w:shd w:val="clear" w:color="auto" w:fill="auto"/>
                  <w:noWrap/>
                  <w:vAlign w:val="center"/>
                  <w:hideMark/>
                </w:tcPr>
                <w:p w14:paraId="7C3A95AB" w14:textId="77777777" w:rsidR="00A54E1B" w:rsidRPr="00414327" w:rsidRDefault="00A54E1B" w:rsidP="00D82E30">
                  <w:pPr>
                    <w:jc w:val="center"/>
                    <w:rPr>
                      <w:rFonts w:ascii="Arial" w:hAnsi="Arial" w:cs="Arial"/>
                    </w:rPr>
                  </w:pPr>
                  <w:r w:rsidRPr="00414327">
                    <w:rPr>
                      <w:rFonts w:ascii="Arial" w:hAnsi="Arial" w:cs="Arial"/>
                    </w:rPr>
                    <w:t>0,15</w:t>
                  </w:r>
                </w:p>
              </w:tc>
            </w:tr>
          </w:tbl>
          <w:p w14:paraId="29265BCC" w14:textId="77777777" w:rsidR="00A54E1B" w:rsidRPr="00B732FA" w:rsidRDefault="00A54E1B" w:rsidP="00D82E30">
            <w:pPr>
              <w:spacing w:line="360" w:lineRule="auto"/>
              <w:rPr>
                <w:rFonts w:ascii="Arial" w:hAnsi="Arial" w:cs="Arial"/>
                <w:sz w:val="20"/>
                <w:szCs w:val="20"/>
              </w:rPr>
            </w:pPr>
          </w:p>
        </w:tc>
      </w:tr>
      <w:tr w:rsidR="00A54E1B" w:rsidRPr="00B732FA" w14:paraId="2F8D7369" w14:textId="77777777" w:rsidTr="00D82E30">
        <w:trPr>
          <w:trHeight w:val="265"/>
        </w:trPr>
        <w:tc>
          <w:tcPr>
            <w:tcW w:w="10368" w:type="dxa"/>
            <w:tcBorders>
              <w:top w:val="nil"/>
              <w:left w:val="nil"/>
              <w:bottom w:val="nil"/>
              <w:right w:val="nil"/>
            </w:tcBorders>
            <w:shd w:val="clear" w:color="auto" w:fill="auto"/>
            <w:noWrap/>
            <w:vAlign w:val="bottom"/>
            <w:hideMark/>
          </w:tcPr>
          <w:p w14:paraId="6ECFA8D9" w14:textId="77777777" w:rsidR="00A54E1B" w:rsidRPr="00B732FA" w:rsidRDefault="00A54E1B" w:rsidP="00D82E30">
            <w:pPr>
              <w:spacing w:line="360" w:lineRule="auto"/>
              <w:rPr>
                <w:rFonts w:ascii="Arial" w:hAnsi="Arial" w:cs="Arial"/>
                <w:sz w:val="20"/>
                <w:szCs w:val="20"/>
              </w:rPr>
            </w:pPr>
          </w:p>
        </w:tc>
      </w:tr>
    </w:tbl>
    <w:p w14:paraId="6091503E" w14:textId="77777777" w:rsidR="00A54E1B" w:rsidRPr="000138C1" w:rsidRDefault="00A54E1B" w:rsidP="00A54E1B">
      <w:pPr>
        <w:spacing w:line="360" w:lineRule="auto"/>
        <w:rPr>
          <w:rFonts w:eastAsia="Calibri"/>
        </w:rPr>
      </w:pPr>
      <w:r w:rsidRPr="000138C1">
        <w:rPr>
          <w:rFonts w:eastAsia="Calibri"/>
        </w:rPr>
        <w:t xml:space="preserve">Pokazatelj zaduženosti pokazuje koliko je ukupne imovine financirano iz vlastitih a koliko iz tuđih izvora, a prihvatljiv je do 50%. Društvo se financira dugom oko 15%, što je jako prihvatljivo i možemo zaključiti da je daleko od prezaduženog. </w:t>
      </w:r>
    </w:p>
    <w:p w14:paraId="41C05734" w14:textId="77777777" w:rsidR="003554A9" w:rsidRDefault="003554A9" w:rsidP="00A54E1B">
      <w:pPr>
        <w:rPr>
          <w:rFonts w:eastAsia="Calibri"/>
        </w:rPr>
      </w:pPr>
    </w:p>
    <w:p w14:paraId="0ADE4953" w14:textId="77777777" w:rsidR="00A54E1B" w:rsidRPr="000138C1" w:rsidRDefault="00A54E1B" w:rsidP="00A54E1B">
      <w:pPr>
        <w:rPr>
          <w:rFonts w:eastAsia="Calibri"/>
        </w:rPr>
      </w:pPr>
      <w:r w:rsidRPr="000138C1">
        <w:rPr>
          <w:rFonts w:eastAsia="Calibri"/>
        </w:rPr>
        <w:t>Zaključak:</w:t>
      </w:r>
    </w:p>
    <w:p w14:paraId="0CAFAA0E" w14:textId="77777777" w:rsidR="00A54E1B" w:rsidRPr="000138C1" w:rsidRDefault="00A54E1B" w:rsidP="00A54E1B">
      <w:pPr>
        <w:rPr>
          <w:rFonts w:eastAsia="Calibri"/>
        </w:rPr>
      </w:pPr>
    </w:p>
    <w:p w14:paraId="4A1B97B4" w14:textId="77777777" w:rsidR="00A54E1B" w:rsidRPr="000138C1" w:rsidRDefault="00A54E1B" w:rsidP="00A54E1B">
      <w:pPr>
        <w:spacing w:line="360" w:lineRule="auto"/>
        <w:rPr>
          <w:rFonts w:eastAsia="Calibri"/>
        </w:rPr>
      </w:pPr>
      <w:r w:rsidRPr="000138C1">
        <w:rPr>
          <w:rFonts w:eastAsia="Calibri"/>
        </w:rPr>
        <w:t xml:space="preserve">Gledajući sve navedene pokazatelje poslovanja možemo zaključiti da društvu problem jedino predstavljaju potraživanja od građana, ali se mjerama </w:t>
      </w:r>
      <w:proofErr w:type="spellStart"/>
      <w:r w:rsidRPr="000138C1">
        <w:rPr>
          <w:rFonts w:eastAsia="Calibri"/>
        </w:rPr>
        <w:t>prislinih</w:t>
      </w:r>
      <w:proofErr w:type="spellEnd"/>
      <w:r w:rsidRPr="000138C1">
        <w:rPr>
          <w:rFonts w:eastAsia="Calibri"/>
        </w:rPr>
        <w:t xml:space="preserve"> naplata i taj dio nastoji smanjiti.</w:t>
      </w:r>
    </w:p>
    <w:p w14:paraId="1F97AC35" w14:textId="77777777" w:rsidR="00A54E1B" w:rsidRPr="000138C1" w:rsidRDefault="00A54E1B" w:rsidP="00A54E1B">
      <w:pPr>
        <w:spacing w:line="360" w:lineRule="auto"/>
        <w:rPr>
          <w:rFonts w:eastAsia="Calibri"/>
        </w:rPr>
      </w:pPr>
      <w:r w:rsidRPr="000138C1">
        <w:rPr>
          <w:rFonts w:eastAsia="Calibri"/>
        </w:rPr>
        <w:t>Društvo je solventno, podmiruje svoje dospjele obveze.</w:t>
      </w:r>
    </w:p>
    <w:p w14:paraId="18B6429A" w14:textId="77777777" w:rsidR="00A54E1B" w:rsidRPr="000138C1" w:rsidRDefault="00A54E1B" w:rsidP="00A54E1B">
      <w:pPr>
        <w:spacing w:line="360" w:lineRule="auto"/>
        <w:rPr>
          <w:rFonts w:eastAsia="Calibri"/>
        </w:rPr>
      </w:pPr>
      <w:r w:rsidRPr="000138C1">
        <w:rPr>
          <w:rFonts w:eastAsia="Calibri"/>
        </w:rPr>
        <w:t>Prosjek dana plaćanja obveza prema dobavljačima – odlična</w:t>
      </w:r>
    </w:p>
    <w:p w14:paraId="2325BD27" w14:textId="77777777" w:rsidR="00A54E1B" w:rsidRPr="000138C1" w:rsidRDefault="00A54E1B" w:rsidP="00A54E1B">
      <w:pPr>
        <w:spacing w:line="360" w:lineRule="auto"/>
        <w:rPr>
          <w:rFonts w:eastAsia="Calibri"/>
        </w:rPr>
      </w:pPr>
    </w:p>
    <w:p w14:paraId="79D64546" w14:textId="77777777" w:rsidR="00A54E1B" w:rsidRDefault="00A54E1B" w:rsidP="00A54E1B">
      <w:pPr>
        <w:spacing w:line="360" w:lineRule="auto"/>
        <w:rPr>
          <w:rFonts w:ascii="Arial" w:eastAsia="Calibri" w:hAnsi="Arial" w:cs="Arial"/>
          <w:sz w:val="20"/>
          <w:szCs w:val="20"/>
        </w:rPr>
      </w:pPr>
    </w:p>
    <w:p w14:paraId="2C2C92E8" w14:textId="77777777" w:rsidR="00A54E1B" w:rsidRPr="000138C1" w:rsidRDefault="00A54E1B" w:rsidP="00A54E1B">
      <w:pPr>
        <w:spacing w:line="360" w:lineRule="auto"/>
        <w:jc w:val="center"/>
        <w:rPr>
          <w:rFonts w:eastAsia="Calibri"/>
        </w:rPr>
      </w:pPr>
      <w:r w:rsidRPr="000138C1">
        <w:rPr>
          <w:rFonts w:eastAsia="Calibri"/>
        </w:rPr>
        <w:t xml:space="preserve">                                                                                                        Direktor</w:t>
      </w:r>
    </w:p>
    <w:p w14:paraId="058D3A01" w14:textId="772319F8" w:rsidR="00A54E1B" w:rsidRPr="005331EF" w:rsidRDefault="005331EF" w:rsidP="005331EF">
      <w:pPr>
        <w:spacing w:line="360" w:lineRule="auto"/>
        <w:jc w:val="center"/>
        <w:rPr>
          <w:rFonts w:ascii="Arial" w:eastAsia="Calibri" w:hAnsi="Arial" w:cs="Arial"/>
          <w:sz w:val="20"/>
          <w:szCs w:val="20"/>
        </w:rPr>
      </w:pPr>
      <w:r>
        <w:rPr>
          <w:rFonts w:eastAsia="Calibri"/>
          <w:noProof/>
        </w:rPr>
        <w:tab/>
      </w:r>
      <w:r>
        <w:rPr>
          <w:rFonts w:eastAsia="Calibri"/>
          <w:noProof/>
        </w:rPr>
        <w:tab/>
      </w:r>
      <w:r>
        <w:rPr>
          <w:rFonts w:eastAsia="Calibri"/>
          <w:noProof/>
        </w:rPr>
        <w:tab/>
      </w:r>
      <w:r>
        <w:rPr>
          <w:rFonts w:eastAsia="Calibri"/>
          <w:noProof/>
        </w:rPr>
        <w:tab/>
      </w:r>
      <w:r>
        <w:rPr>
          <w:rFonts w:eastAsia="Calibri"/>
          <w:noProof/>
        </w:rPr>
        <w:tab/>
      </w:r>
      <w:r>
        <w:rPr>
          <w:rFonts w:eastAsia="Calibri"/>
          <w:noProof/>
        </w:rPr>
        <w:tab/>
      </w:r>
      <w:r>
        <w:rPr>
          <w:rFonts w:eastAsia="Calibri"/>
          <w:noProof/>
        </w:rPr>
        <w:tab/>
      </w:r>
      <w:r>
        <w:rPr>
          <w:rFonts w:eastAsia="Calibri"/>
          <w:noProof/>
        </w:rPr>
        <w:tab/>
      </w:r>
      <w:r>
        <w:rPr>
          <w:rFonts w:eastAsia="Calibri"/>
          <w:noProof/>
        </w:rPr>
        <w:tab/>
        <w:t>Ivana Jelić</w:t>
      </w:r>
    </w:p>
    <w:sectPr w:rsidR="00A54E1B" w:rsidRPr="005331EF" w:rsidSect="00A7488C">
      <w:headerReference w:type="default" r:id="rId17"/>
      <w:footerReference w:type="default" r:id="rId18"/>
      <w:headerReference w:type="first" r:id="rId19"/>
      <w:footerReference w:type="first" r:id="rId20"/>
      <w:pgSz w:w="11906" w:h="16838"/>
      <w:pgMar w:top="1417" w:right="1417" w:bottom="1417" w:left="141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B0D5" w14:textId="77777777" w:rsidR="000E2E20" w:rsidRDefault="000E2E20" w:rsidP="00A7488C">
      <w:r>
        <w:separator/>
      </w:r>
    </w:p>
  </w:endnote>
  <w:endnote w:type="continuationSeparator" w:id="0">
    <w:p w14:paraId="04E91506" w14:textId="77777777" w:rsidR="000E2E20" w:rsidRDefault="000E2E20" w:rsidP="00A7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D64C" w14:textId="77777777" w:rsidR="00A7488C" w:rsidRPr="00CB4ADE" w:rsidRDefault="003554A9" w:rsidP="00A7488C">
    <w:pPr>
      <w:pStyle w:val="Podnoje"/>
      <w:jc w:val="center"/>
      <w:rPr>
        <w:sz w:val="18"/>
        <w:szCs w:val="18"/>
      </w:rPr>
    </w:pPr>
    <w:r>
      <w:rPr>
        <w:noProof/>
        <w:sz w:val="18"/>
        <w:szCs w:val="18"/>
      </w:rPr>
      <mc:AlternateContent>
        <mc:Choice Requires="wps">
          <w:drawing>
            <wp:anchor distT="4294967295" distB="4294967295" distL="114300" distR="114300" simplePos="0" relativeHeight="251660288" behindDoc="0" locked="0" layoutInCell="1" allowOverlap="1" wp14:anchorId="7B15D087" wp14:editId="0EEDC8B3">
              <wp:simplePos x="0" y="0"/>
              <wp:positionH relativeFrom="margin">
                <wp:posOffset>-481965</wp:posOffset>
              </wp:positionH>
              <wp:positionV relativeFrom="paragraph">
                <wp:posOffset>-69851</wp:posOffset>
              </wp:positionV>
              <wp:extent cx="6705600" cy="0"/>
              <wp:effectExtent l="0" t="0" r="19050" b="1905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BAA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7.95pt,-5.5pt" to="49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">
              <w10:wrap anchorx="margin"/>
            </v:line>
          </w:pict>
        </mc:Fallback>
      </mc:AlternateContent>
    </w:r>
    <w:r>
      <w:rPr>
        <w:noProof/>
        <w:sz w:val="18"/>
        <w:szCs w:val="18"/>
      </w:rPr>
      <mc:AlternateContent>
        <mc:Choice Requires="wps">
          <w:drawing>
            <wp:anchor distT="4294967295" distB="4294967295" distL="114300" distR="114300" simplePos="0" relativeHeight="251659264" behindDoc="0" locked="0" layoutInCell="1" allowOverlap="1" wp14:anchorId="53394608" wp14:editId="574073ED">
              <wp:simplePos x="0" y="0"/>
              <wp:positionH relativeFrom="margin">
                <wp:posOffset>-481965</wp:posOffset>
              </wp:positionH>
              <wp:positionV relativeFrom="paragraph">
                <wp:posOffset>-55246</wp:posOffset>
              </wp:positionV>
              <wp:extent cx="6705600" cy="0"/>
              <wp:effectExtent l="0" t="0" r="1905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B76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7.95pt,-4.35pt" to="49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" strokeweight="1.5pt">
              <w10:wrap anchorx="margin"/>
            </v:line>
          </w:pict>
        </mc:Fallback>
      </mc:AlternateContent>
    </w:r>
    <w:r w:rsidR="00A7488C">
      <w:rPr>
        <w:sz w:val="18"/>
        <w:szCs w:val="18"/>
      </w:rPr>
      <w:t>Čistoća i zelenilo d.o.o. Trg Oluje 5. kolovoza 1995. godine. kbr. 9, 22300 Knin</w:t>
    </w:r>
  </w:p>
  <w:p w14:paraId="4D70F05C" w14:textId="77777777" w:rsidR="00A7488C" w:rsidRDefault="00A7488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6579" w14:textId="77777777" w:rsidR="000C0F31" w:rsidRDefault="003554A9" w:rsidP="00D56AF8">
    <w:pPr>
      <w:pStyle w:val="Podnoje"/>
      <w:jc w:val="center"/>
      <w:rPr>
        <w:sz w:val="16"/>
        <w:szCs w:val="16"/>
      </w:rPr>
    </w:pPr>
    <w:r>
      <w:rPr>
        <w:noProof/>
        <w:sz w:val="16"/>
        <w:szCs w:val="16"/>
      </w:rPr>
      <mc:AlternateContent>
        <mc:Choice Requires="wps">
          <w:drawing>
            <wp:anchor distT="4294967295" distB="4294967295" distL="114300" distR="114300" simplePos="0" relativeHeight="251663360" behindDoc="0" locked="0" layoutInCell="1" allowOverlap="1" wp14:anchorId="5DA156E1" wp14:editId="118ECF0E">
              <wp:simplePos x="0" y="0"/>
              <wp:positionH relativeFrom="margin">
                <wp:align>center</wp:align>
              </wp:positionH>
              <wp:positionV relativeFrom="paragraph">
                <wp:posOffset>-22861</wp:posOffset>
              </wp:positionV>
              <wp:extent cx="6705600" cy="0"/>
              <wp:effectExtent l="0" t="0" r="19050" b="19050"/>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E5FB" id="Straight Connector 5"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8pt" to="5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">
              <w10:wrap anchorx="margin"/>
            </v:line>
          </w:pict>
        </mc:Fallback>
      </mc:AlternateContent>
    </w:r>
    <w:r>
      <w:rPr>
        <w:noProof/>
        <w:sz w:val="16"/>
        <w:szCs w:val="16"/>
      </w:rPr>
      <mc:AlternateContent>
        <mc:Choice Requires="wps">
          <w:drawing>
            <wp:anchor distT="4294967295" distB="4294967295" distL="114300" distR="114300" simplePos="0" relativeHeight="251662336" behindDoc="0" locked="0" layoutInCell="1" allowOverlap="1" wp14:anchorId="2EAA1358" wp14:editId="4DB4E6D8">
              <wp:simplePos x="0" y="0"/>
              <wp:positionH relativeFrom="margin">
                <wp:align>center</wp:align>
              </wp:positionH>
              <wp:positionV relativeFrom="paragraph">
                <wp:posOffset>-40641</wp:posOffset>
              </wp:positionV>
              <wp:extent cx="6705600" cy="0"/>
              <wp:effectExtent l="0" t="0" r="19050" b="19050"/>
              <wp:wrapNone/>
              <wp:docPr id="1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66AB" id="Straight Connector 6"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pt" to="52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" strokeweight="1.5pt">
              <w10:wrap anchorx="margin"/>
            </v:line>
          </w:pict>
        </mc:Fallback>
      </mc:AlternateContent>
    </w:r>
    <w:r w:rsidR="00A7488C" w:rsidRPr="00A66C14">
      <w:rPr>
        <w:sz w:val="16"/>
        <w:szCs w:val="16"/>
      </w:rPr>
      <w:t xml:space="preserve">Društvo je upisano kod Trgovačkog suda u Zadru, Stalna služba u Šibeniku, </w:t>
    </w:r>
    <w:proofErr w:type="spellStart"/>
    <w:r w:rsidR="00A7488C" w:rsidRPr="00A66C14">
      <w:rPr>
        <w:sz w:val="16"/>
        <w:szCs w:val="16"/>
      </w:rPr>
      <w:t>br</w:t>
    </w:r>
    <w:proofErr w:type="spellEnd"/>
    <w:r w:rsidR="00A7488C" w:rsidRPr="00A66C14">
      <w:rPr>
        <w:sz w:val="16"/>
        <w:szCs w:val="16"/>
      </w:rPr>
      <w:t>: 110030889. Temeljni kapital: 1.40</w:t>
    </w:r>
    <w:r w:rsidR="00D609F0" w:rsidRPr="00A66C14">
      <w:rPr>
        <w:sz w:val="16"/>
        <w:szCs w:val="16"/>
      </w:rPr>
      <w:t>8.000,00</w:t>
    </w:r>
    <w:r w:rsidR="000C0F31">
      <w:rPr>
        <w:sz w:val="16"/>
        <w:szCs w:val="16"/>
      </w:rPr>
      <w:t xml:space="preserve"> </w:t>
    </w:r>
    <w:r w:rsidR="00A7488C" w:rsidRPr="00A66C14">
      <w:rPr>
        <w:sz w:val="16"/>
        <w:szCs w:val="16"/>
      </w:rPr>
      <w:t xml:space="preserve">kn. </w:t>
    </w:r>
  </w:p>
  <w:p w14:paraId="4961C080" w14:textId="77777777" w:rsidR="00A7488C" w:rsidRDefault="00A7488C" w:rsidP="00D56AF8">
    <w:pPr>
      <w:pStyle w:val="Podnoje"/>
      <w:jc w:val="center"/>
      <w:rPr>
        <w:sz w:val="16"/>
        <w:szCs w:val="16"/>
      </w:rPr>
    </w:pPr>
    <w:r w:rsidRPr="00A66C14">
      <w:rPr>
        <w:sz w:val="16"/>
        <w:szCs w:val="16"/>
      </w:rPr>
      <w:t>Uprava-direktor: Ivan</w:t>
    </w:r>
    <w:r w:rsidR="00A54E1B">
      <w:rPr>
        <w:sz w:val="16"/>
        <w:szCs w:val="16"/>
      </w:rPr>
      <w:t>a Jelić</w:t>
    </w:r>
  </w:p>
  <w:p w14:paraId="4622DDC5" w14:textId="77777777" w:rsidR="00A66C14" w:rsidRPr="00A66C14" w:rsidRDefault="00A66C14" w:rsidP="00D56AF8">
    <w:pPr>
      <w:pStyle w:val="Podnoj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B93D" w14:textId="77777777" w:rsidR="000E2E20" w:rsidRDefault="000E2E20" w:rsidP="00A7488C">
      <w:r>
        <w:separator/>
      </w:r>
    </w:p>
  </w:footnote>
  <w:footnote w:type="continuationSeparator" w:id="0">
    <w:p w14:paraId="312F3350" w14:textId="77777777" w:rsidR="000E2E20" w:rsidRDefault="000E2E20" w:rsidP="00A7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2247" w14:textId="77777777" w:rsidR="00A7488C" w:rsidRPr="00F90C2B" w:rsidRDefault="00F90C2B">
    <w:pPr>
      <w:pStyle w:val="Zaglavlje"/>
      <w:rPr>
        <w:sz w:val="16"/>
        <w:szCs w:val="16"/>
      </w:rPr>
    </w:pPr>
    <w:r>
      <w:rPr>
        <w:noProof/>
      </w:rPr>
      <w:drawing>
        <wp:anchor distT="0" distB="0" distL="114300" distR="114300" simplePos="0" relativeHeight="251666432" behindDoc="0" locked="0" layoutInCell="1" allowOverlap="1" wp14:anchorId="4455B74A" wp14:editId="27657A69">
          <wp:simplePos x="0" y="0"/>
          <wp:positionH relativeFrom="column">
            <wp:posOffset>-547370</wp:posOffset>
          </wp:positionH>
          <wp:positionV relativeFrom="paragraph">
            <wp:posOffset>-44450</wp:posOffset>
          </wp:positionV>
          <wp:extent cx="6934200" cy="10953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AGLAVLJ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0" cy="10953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A95A" w14:textId="77777777" w:rsidR="00A7488C" w:rsidRPr="00480E5E" w:rsidRDefault="00650973" w:rsidP="00650973">
    <w:pPr>
      <w:pStyle w:val="Zaglavlje"/>
    </w:pPr>
    <w:r>
      <w:rPr>
        <w:noProof/>
      </w:rPr>
      <w:drawing>
        <wp:anchor distT="0" distB="0" distL="114300" distR="114300" simplePos="0" relativeHeight="251667456" behindDoc="0" locked="0" layoutInCell="1" allowOverlap="1" wp14:anchorId="5EAC2ED3" wp14:editId="0E8D4BCB">
          <wp:simplePos x="0" y="0"/>
          <wp:positionH relativeFrom="column">
            <wp:posOffset>-738505</wp:posOffset>
          </wp:positionH>
          <wp:positionV relativeFrom="paragraph">
            <wp:posOffset>-63500</wp:posOffset>
          </wp:positionV>
          <wp:extent cx="7248525" cy="10572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AGLAVLJ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8525" cy="1057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323"/>
    <w:multiLevelType w:val="hybridMultilevel"/>
    <w:tmpl w:val="AA1C7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A10146"/>
    <w:multiLevelType w:val="hybridMultilevel"/>
    <w:tmpl w:val="12C2EC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A852FE3"/>
    <w:multiLevelType w:val="hybridMultilevel"/>
    <w:tmpl w:val="5F2EEFD2"/>
    <w:lvl w:ilvl="0" w:tplc="B396F122">
      <w:numFmt w:val="bullet"/>
      <w:lvlText w:val="-"/>
      <w:lvlJc w:val="left"/>
      <w:pPr>
        <w:ind w:left="1965" w:hanging="360"/>
      </w:pPr>
      <w:rPr>
        <w:rFonts w:ascii="Times New Roman" w:eastAsia="Times New Roman" w:hAnsi="Times New Roman" w:cs="Times New Roman" w:hint="default"/>
      </w:rPr>
    </w:lvl>
    <w:lvl w:ilvl="1" w:tplc="041A0003" w:tentative="1">
      <w:start w:val="1"/>
      <w:numFmt w:val="bullet"/>
      <w:lvlText w:val="o"/>
      <w:lvlJc w:val="left"/>
      <w:pPr>
        <w:ind w:left="2685" w:hanging="360"/>
      </w:pPr>
      <w:rPr>
        <w:rFonts w:ascii="Courier New" w:hAnsi="Courier New" w:cs="Courier New" w:hint="default"/>
      </w:rPr>
    </w:lvl>
    <w:lvl w:ilvl="2" w:tplc="041A0005" w:tentative="1">
      <w:start w:val="1"/>
      <w:numFmt w:val="bullet"/>
      <w:lvlText w:val=""/>
      <w:lvlJc w:val="left"/>
      <w:pPr>
        <w:ind w:left="3405" w:hanging="360"/>
      </w:pPr>
      <w:rPr>
        <w:rFonts w:ascii="Wingdings" w:hAnsi="Wingdings" w:hint="default"/>
      </w:rPr>
    </w:lvl>
    <w:lvl w:ilvl="3" w:tplc="041A0001" w:tentative="1">
      <w:start w:val="1"/>
      <w:numFmt w:val="bullet"/>
      <w:lvlText w:val=""/>
      <w:lvlJc w:val="left"/>
      <w:pPr>
        <w:ind w:left="4125" w:hanging="360"/>
      </w:pPr>
      <w:rPr>
        <w:rFonts w:ascii="Symbol" w:hAnsi="Symbol" w:hint="default"/>
      </w:rPr>
    </w:lvl>
    <w:lvl w:ilvl="4" w:tplc="041A0003" w:tentative="1">
      <w:start w:val="1"/>
      <w:numFmt w:val="bullet"/>
      <w:lvlText w:val="o"/>
      <w:lvlJc w:val="left"/>
      <w:pPr>
        <w:ind w:left="4845" w:hanging="360"/>
      </w:pPr>
      <w:rPr>
        <w:rFonts w:ascii="Courier New" w:hAnsi="Courier New" w:cs="Courier New" w:hint="default"/>
      </w:rPr>
    </w:lvl>
    <w:lvl w:ilvl="5" w:tplc="041A0005" w:tentative="1">
      <w:start w:val="1"/>
      <w:numFmt w:val="bullet"/>
      <w:lvlText w:val=""/>
      <w:lvlJc w:val="left"/>
      <w:pPr>
        <w:ind w:left="5565" w:hanging="360"/>
      </w:pPr>
      <w:rPr>
        <w:rFonts w:ascii="Wingdings" w:hAnsi="Wingdings" w:hint="default"/>
      </w:rPr>
    </w:lvl>
    <w:lvl w:ilvl="6" w:tplc="041A0001" w:tentative="1">
      <w:start w:val="1"/>
      <w:numFmt w:val="bullet"/>
      <w:lvlText w:val=""/>
      <w:lvlJc w:val="left"/>
      <w:pPr>
        <w:ind w:left="6285" w:hanging="360"/>
      </w:pPr>
      <w:rPr>
        <w:rFonts w:ascii="Symbol" w:hAnsi="Symbol" w:hint="default"/>
      </w:rPr>
    </w:lvl>
    <w:lvl w:ilvl="7" w:tplc="041A0003" w:tentative="1">
      <w:start w:val="1"/>
      <w:numFmt w:val="bullet"/>
      <w:lvlText w:val="o"/>
      <w:lvlJc w:val="left"/>
      <w:pPr>
        <w:ind w:left="7005" w:hanging="360"/>
      </w:pPr>
      <w:rPr>
        <w:rFonts w:ascii="Courier New" w:hAnsi="Courier New" w:cs="Courier New" w:hint="default"/>
      </w:rPr>
    </w:lvl>
    <w:lvl w:ilvl="8" w:tplc="041A0005" w:tentative="1">
      <w:start w:val="1"/>
      <w:numFmt w:val="bullet"/>
      <w:lvlText w:val=""/>
      <w:lvlJc w:val="left"/>
      <w:pPr>
        <w:ind w:left="7725" w:hanging="360"/>
      </w:pPr>
      <w:rPr>
        <w:rFonts w:ascii="Wingdings" w:hAnsi="Wingdings" w:hint="default"/>
      </w:rPr>
    </w:lvl>
  </w:abstractNum>
  <w:abstractNum w:abstractNumId="3" w15:restartNumberingAfterBreak="0">
    <w:nsid w:val="7FC8630D"/>
    <w:multiLevelType w:val="hybridMultilevel"/>
    <w:tmpl w:val="BBDC7E06"/>
    <w:lvl w:ilvl="0" w:tplc="C42E99C6">
      <w:start w:val="20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8C"/>
    <w:rsid w:val="000351BB"/>
    <w:rsid w:val="000818CA"/>
    <w:rsid w:val="000C0F31"/>
    <w:rsid w:val="000E2E20"/>
    <w:rsid w:val="001D4D3E"/>
    <w:rsid w:val="001E1563"/>
    <w:rsid w:val="0024329A"/>
    <w:rsid w:val="003554A9"/>
    <w:rsid w:val="00462D0E"/>
    <w:rsid w:val="00480E5E"/>
    <w:rsid w:val="005331EF"/>
    <w:rsid w:val="00560994"/>
    <w:rsid w:val="005D2E83"/>
    <w:rsid w:val="005F327A"/>
    <w:rsid w:val="00650973"/>
    <w:rsid w:val="006D6780"/>
    <w:rsid w:val="00703788"/>
    <w:rsid w:val="00764960"/>
    <w:rsid w:val="007923DA"/>
    <w:rsid w:val="00812151"/>
    <w:rsid w:val="008722A3"/>
    <w:rsid w:val="00884B59"/>
    <w:rsid w:val="00897024"/>
    <w:rsid w:val="008A3CF2"/>
    <w:rsid w:val="008B48C9"/>
    <w:rsid w:val="008D3995"/>
    <w:rsid w:val="00945291"/>
    <w:rsid w:val="00954710"/>
    <w:rsid w:val="009859E4"/>
    <w:rsid w:val="009A798C"/>
    <w:rsid w:val="009E1A04"/>
    <w:rsid w:val="00A54E1B"/>
    <w:rsid w:val="00A66C14"/>
    <w:rsid w:val="00A7488C"/>
    <w:rsid w:val="00B157FC"/>
    <w:rsid w:val="00B20930"/>
    <w:rsid w:val="00B55C59"/>
    <w:rsid w:val="00B764B1"/>
    <w:rsid w:val="00B76992"/>
    <w:rsid w:val="00C026C3"/>
    <w:rsid w:val="00C24A14"/>
    <w:rsid w:val="00C94688"/>
    <w:rsid w:val="00D07533"/>
    <w:rsid w:val="00D56AF8"/>
    <w:rsid w:val="00D609F0"/>
    <w:rsid w:val="00D7653C"/>
    <w:rsid w:val="00DF1711"/>
    <w:rsid w:val="00E45142"/>
    <w:rsid w:val="00F0215A"/>
    <w:rsid w:val="00F33676"/>
    <w:rsid w:val="00F675C4"/>
    <w:rsid w:val="00F90C2B"/>
    <w:rsid w:val="00FA5737"/>
    <w:rsid w:val="00FD7E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04C9E"/>
  <w15:docId w15:val="{0EEDA3F4-8CE2-4B0E-89F6-7C6D210C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C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A7488C"/>
    <w:pPr>
      <w:tabs>
        <w:tab w:val="center" w:pos="4536"/>
        <w:tab w:val="right" w:pos="9072"/>
      </w:tabs>
    </w:pPr>
  </w:style>
  <w:style w:type="character" w:customStyle="1" w:styleId="ZaglavljeChar">
    <w:name w:val="Zaglavlje Char"/>
    <w:basedOn w:val="Zadanifontodlomka"/>
    <w:link w:val="Zaglavlje"/>
    <w:rsid w:val="00A7488C"/>
  </w:style>
  <w:style w:type="paragraph" w:styleId="Podnoje">
    <w:name w:val="footer"/>
    <w:basedOn w:val="Normal"/>
    <w:link w:val="PodnojeChar"/>
    <w:unhideWhenUsed/>
    <w:rsid w:val="00A7488C"/>
    <w:pPr>
      <w:tabs>
        <w:tab w:val="center" w:pos="4536"/>
        <w:tab w:val="right" w:pos="9072"/>
      </w:tabs>
    </w:pPr>
  </w:style>
  <w:style w:type="character" w:customStyle="1" w:styleId="PodnojeChar">
    <w:name w:val="Podnožje Char"/>
    <w:basedOn w:val="Zadanifontodlomka"/>
    <w:link w:val="Podnoje"/>
    <w:rsid w:val="00A7488C"/>
  </w:style>
  <w:style w:type="paragraph" w:styleId="Tekstbalonia">
    <w:name w:val="Balloon Text"/>
    <w:basedOn w:val="Normal"/>
    <w:link w:val="TekstbaloniaChar"/>
    <w:uiPriority w:val="99"/>
    <w:semiHidden/>
    <w:unhideWhenUsed/>
    <w:rsid w:val="00D609F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09F0"/>
    <w:rPr>
      <w:rFonts w:ascii="Segoe UI" w:hAnsi="Segoe UI" w:cs="Segoe UI"/>
      <w:sz w:val="18"/>
      <w:szCs w:val="18"/>
    </w:rPr>
  </w:style>
  <w:style w:type="paragraph" w:styleId="Odlomakpopisa">
    <w:name w:val="List Paragraph"/>
    <w:basedOn w:val="Normal"/>
    <w:uiPriority w:val="34"/>
    <w:qFormat/>
    <w:rsid w:val="005D2E83"/>
    <w:pPr>
      <w:ind w:left="720"/>
      <w:contextualSpacing/>
    </w:pPr>
  </w:style>
  <w:style w:type="character" w:styleId="Hiperveza">
    <w:name w:val="Hyperlink"/>
    <w:basedOn w:val="Zadanifontodlomka"/>
    <w:uiPriority w:val="99"/>
    <w:unhideWhenUsed/>
    <w:rsid w:val="005D2E83"/>
    <w:rPr>
      <w:color w:val="0563C1" w:themeColor="hyperlink"/>
      <w:u w:val="single"/>
    </w:rPr>
  </w:style>
  <w:style w:type="character" w:styleId="Istaknuto">
    <w:name w:val="Emphasis"/>
    <w:qFormat/>
    <w:rsid w:val="00A54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Nives-PC\Desktop\&#268;ISTO&#262;A%202017\POKAZATELJI%20POSLOVANJA%20GRAFOVI%202015-2017.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75" b="1" i="0" u="none" strike="noStrike" baseline="0">
                <a:solidFill>
                  <a:srgbClr val="000000"/>
                </a:solidFill>
                <a:latin typeface="Arial"/>
                <a:ea typeface="Arial"/>
                <a:cs typeface="Arial"/>
              </a:defRPr>
            </a:pPr>
            <a:r>
              <a:rPr lang="hr-HR"/>
              <a:t>Analiza vrijednosti kapitala i obveza</a:t>
            </a:r>
          </a:p>
        </c:rich>
      </c:tx>
      <c:layout>
        <c:manualLayout>
          <c:xMode val="edge"/>
          <c:yMode val="edge"/>
          <c:x val="0.34019121171234668"/>
          <c:y val="3.614457831325301E-2"/>
        </c:manualLayout>
      </c:layout>
      <c:overlay val="0"/>
      <c:spPr>
        <a:noFill/>
        <a:ln w="25400">
          <a:noFill/>
        </a:ln>
      </c:spPr>
    </c:title>
    <c:autoTitleDeleted val="0"/>
    <c:plotArea>
      <c:layout>
        <c:manualLayout>
          <c:layoutTarget val="inner"/>
          <c:xMode val="edge"/>
          <c:yMode val="edge"/>
          <c:x val="0.16531975137818034"/>
          <c:y val="0.22650649047717236"/>
          <c:w val="0.8221902301874835"/>
          <c:h val="0.43373583282862793"/>
        </c:manualLayout>
      </c:layout>
      <c:barChart>
        <c:barDir val="col"/>
        <c:grouping val="stacked"/>
        <c:varyColors val="0"/>
        <c:ser>
          <c:idx val="0"/>
          <c:order val="0"/>
          <c:tx>
            <c:strRef>
              <c:f>Sheet1!$B$5</c:f>
              <c:strCache>
                <c:ptCount val="1"/>
                <c:pt idx="0">
                  <c:v>Dugoročne obveze</c:v>
                </c:pt>
              </c:strCache>
            </c:strRef>
          </c:tx>
          <c:spPr>
            <a:solidFill>
              <a:srgbClr val="FFFF00"/>
            </a:solidFill>
            <a:ln w="12700">
              <a:solidFill>
                <a:srgbClr val="000000"/>
              </a:solidFill>
              <a:prstDash val="solid"/>
            </a:ln>
          </c:spPr>
          <c:invertIfNegative val="0"/>
          <c:cat>
            <c:numRef>
              <c:f>Sheet1!$C$2:$E$2</c:f>
              <c:numCache>
                <c:formatCode>General</c:formatCode>
                <c:ptCount val="3"/>
                <c:pt idx="0">
                  <c:v>2017</c:v>
                </c:pt>
                <c:pt idx="1">
                  <c:v>2018</c:v>
                </c:pt>
                <c:pt idx="2">
                  <c:v>2019</c:v>
                </c:pt>
              </c:numCache>
            </c:numRef>
          </c:cat>
          <c:val>
            <c:numRef>
              <c:f>Sheet1!$C$5:$E$5</c:f>
              <c:numCache>
                <c:formatCode>#,##0</c:formatCode>
                <c:ptCount val="3"/>
                <c:pt idx="0">
                  <c:v>185110</c:v>
                </c:pt>
                <c:pt idx="1">
                  <c:v>53243</c:v>
                </c:pt>
                <c:pt idx="2">
                  <c:v>289948</c:v>
                </c:pt>
              </c:numCache>
            </c:numRef>
          </c:val>
          <c:extLst>
            <c:ext xmlns:c16="http://schemas.microsoft.com/office/drawing/2014/chart" uri="{C3380CC4-5D6E-409C-BE32-E72D297353CC}">
              <c16:uniqueId val="{00000000-1D95-42C0-89C2-B54BE555DAC6}"/>
            </c:ext>
          </c:extLst>
        </c:ser>
        <c:ser>
          <c:idx val="1"/>
          <c:order val="1"/>
          <c:tx>
            <c:strRef>
              <c:f>Sheet1!$B$6</c:f>
              <c:strCache>
                <c:ptCount val="1"/>
                <c:pt idx="0">
                  <c:v>Kratkoročne obveze</c:v>
                </c:pt>
              </c:strCache>
            </c:strRef>
          </c:tx>
          <c:spPr>
            <a:solidFill>
              <a:srgbClr val="008000"/>
            </a:solidFill>
            <a:ln w="12700">
              <a:solidFill>
                <a:srgbClr val="000000"/>
              </a:solidFill>
              <a:prstDash val="solid"/>
            </a:ln>
          </c:spPr>
          <c:invertIfNegative val="0"/>
          <c:cat>
            <c:numRef>
              <c:f>Sheet1!$C$2:$E$2</c:f>
              <c:numCache>
                <c:formatCode>General</c:formatCode>
                <c:ptCount val="3"/>
                <c:pt idx="0">
                  <c:v>2017</c:v>
                </c:pt>
                <c:pt idx="1">
                  <c:v>2018</c:v>
                </c:pt>
                <c:pt idx="2">
                  <c:v>2019</c:v>
                </c:pt>
              </c:numCache>
            </c:numRef>
          </c:cat>
          <c:val>
            <c:numRef>
              <c:f>Sheet1!$C$6:$E$6</c:f>
              <c:numCache>
                <c:formatCode>#,##0</c:formatCode>
                <c:ptCount val="3"/>
                <c:pt idx="0">
                  <c:v>476257</c:v>
                </c:pt>
                <c:pt idx="1">
                  <c:v>597533</c:v>
                </c:pt>
                <c:pt idx="2">
                  <c:v>656796</c:v>
                </c:pt>
              </c:numCache>
            </c:numRef>
          </c:val>
          <c:extLst>
            <c:ext xmlns:c16="http://schemas.microsoft.com/office/drawing/2014/chart" uri="{C3380CC4-5D6E-409C-BE32-E72D297353CC}">
              <c16:uniqueId val="{00000001-1D95-42C0-89C2-B54BE555DAC6}"/>
            </c:ext>
          </c:extLst>
        </c:ser>
        <c:ser>
          <c:idx val="2"/>
          <c:order val="2"/>
          <c:tx>
            <c:strRef>
              <c:f>Sheet1!$B$7</c:f>
              <c:strCache>
                <c:ptCount val="1"/>
                <c:pt idx="0">
                  <c:v>Kapital i pričuve</c:v>
                </c:pt>
              </c:strCache>
            </c:strRef>
          </c:tx>
          <c:spPr>
            <a:solidFill>
              <a:srgbClr val="FF0000"/>
            </a:solidFill>
            <a:ln w="12700">
              <a:solidFill>
                <a:srgbClr val="000000"/>
              </a:solidFill>
              <a:prstDash val="solid"/>
            </a:ln>
          </c:spPr>
          <c:invertIfNegative val="0"/>
          <c:cat>
            <c:numRef>
              <c:f>Sheet1!$C$2:$E$2</c:f>
              <c:numCache>
                <c:formatCode>General</c:formatCode>
                <c:ptCount val="3"/>
                <c:pt idx="0">
                  <c:v>2017</c:v>
                </c:pt>
                <c:pt idx="1">
                  <c:v>2018</c:v>
                </c:pt>
                <c:pt idx="2">
                  <c:v>2019</c:v>
                </c:pt>
              </c:numCache>
            </c:numRef>
          </c:cat>
          <c:val>
            <c:numRef>
              <c:f>Sheet1!$C$7:$E$7</c:f>
              <c:numCache>
                <c:formatCode>#,##0</c:formatCode>
                <c:ptCount val="3"/>
                <c:pt idx="0">
                  <c:v>3273334</c:v>
                </c:pt>
                <c:pt idx="1">
                  <c:v>3536390</c:v>
                </c:pt>
                <c:pt idx="2">
                  <c:v>5002574</c:v>
                </c:pt>
              </c:numCache>
            </c:numRef>
          </c:val>
          <c:extLst>
            <c:ext xmlns:c16="http://schemas.microsoft.com/office/drawing/2014/chart" uri="{C3380CC4-5D6E-409C-BE32-E72D297353CC}">
              <c16:uniqueId val="{00000002-1D95-42C0-89C2-B54BE555DAC6}"/>
            </c:ext>
          </c:extLst>
        </c:ser>
        <c:dLbls>
          <c:showLegendKey val="0"/>
          <c:showVal val="0"/>
          <c:showCatName val="0"/>
          <c:showSerName val="0"/>
          <c:showPercent val="0"/>
          <c:showBubbleSize val="0"/>
        </c:dLbls>
        <c:gapWidth val="150"/>
        <c:overlap val="100"/>
        <c:axId val="216720896"/>
        <c:axId val="216722432"/>
      </c:barChart>
      <c:catAx>
        <c:axId val="216720896"/>
        <c:scaling>
          <c:orientation val="minMax"/>
        </c:scaling>
        <c:delete val="0"/>
        <c:axPos val="b"/>
        <c:numFmt formatCode="General" sourceLinked="1"/>
        <c:majorTickMark val="none"/>
        <c:minorTickMark val="none"/>
        <c:tickLblPos val="none"/>
        <c:spPr>
          <a:ln w="3175">
            <a:solidFill>
              <a:srgbClr val="000000"/>
            </a:solidFill>
            <a:prstDash val="solid"/>
          </a:ln>
        </c:spPr>
        <c:crossAx val="216722432"/>
        <c:crosses val="autoZero"/>
        <c:auto val="1"/>
        <c:lblAlgn val="ctr"/>
        <c:lblOffset val="100"/>
        <c:tickMarkSkip val="1"/>
        <c:noMultiLvlLbl val="0"/>
      </c:catAx>
      <c:valAx>
        <c:axId val="216722432"/>
        <c:scaling>
          <c:logBase val="10"/>
          <c:orientation val="minMax"/>
        </c:scaling>
        <c:delete val="0"/>
        <c:axPos val="l"/>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sr-Latn-RS"/>
          </a:p>
        </c:txPr>
        <c:crossAx val="216720896"/>
        <c:crosses val="autoZero"/>
        <c:crossBetween val="between"/>
        <c:majorUnit val="250000000"/>
        <c:dispUnits>
          <c:builtInUnit val="millions"/>
        </c:dispUnits>
      </c:valAx>
      <c:dTable>
        <c:showHorzBorder val="1"/>
        <c:showVertBorder val="1"/>
        <c:showOutline val="1"/>
        <c:showKeys val="1"/>
        <c:spPr>
          <a:ln w="3175">
            <a:solidFill>
              <a:srgbClr val="000000"/>
            </a:solidFill>
            <a:prstDash val="solid"/>
          </a:ln>
        </c:spPr>
        <c:txPr>
          <a:bodyPr/>
          <a:lstStyle/>
          <a:p>
            <a:pPr rtl="0">
              <a:defRPr sz="1200" b="0" i="0" u="none" strike="noStrike" baseline="0">
                <a:solidFill>
                  <a:srgbClr val="000000"/>
                </a:solidFill>
                <a:latin typeface="Arial"/>
                <a:ea typeface="Arial"/>
                <a:cs typeface="Arial"/>
              </a:defRPr>
            </a:pPr>
            <a:endParaRPr lang="sr-Latn-RS"/>
          </a:p>
        </c:txPr>
      </c:dTable>
      <c:spPr>
        <a:gradFill rotWithShape="0">
          <a:gsLst>
            <a:gs pos="0">
              <a:srgbClr val="FFFFFF"/>
            </a:gs>
            <a:gs pos="100000">
              <a:srgbClr val="FFFFFF">
                <a:gamma/>
                <a:shade val="69804"/>
                <a:invGamma/>
              </a:srgbClr>
            </a:gs>
          </a:gsLst>
          <a:lin ang="5400000" scaled="1"/>
        </a:gradFill>
        <a:ln w="12700">
          <a:solidFill>
            <a:srgbClr val="808080"/>
          </a:solidFill>
          <a:prstDash val="solid"/>
        </a:ln>
      </c:spPr>
    </c:plotArea>
    <c:plotVisOnly val="1"/>
    <c:dispBlanksAs val="gap"/>
    <c:showDLblsOverMax val="0"/>
  </c:chart>
  <c:spPr>
    <a:gradFill rotWithShape="0">
      <a:gsLst>
        <a:gs pos="0">
          <a:srgbClr val="FFFFFF"/>
        </a:gs>
        <a:gs pos="100000">
          <a:srgbClr val="FFFFFF">
            <a:gamma/>
            <a:shade val="41176"/>
            <a:invGamma/>
          </a:srgbClr>
        </a:gs>
      </a:gsLst>
      <a:lin ang="5400000" scaled="1"/>
    </a:gra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 </cp:lastModifiedBy>
  <cp:revision>2</cp:revision>
  <cp:lastPrinted>2020-12-02T08:28:00Z</cp:lastPrinted>
  <dcterms:created xsi:type="dcterms:W3CDTF">2021-04-26T11:53:00Z</dcterms:created>
  <dcterms:modified xsi:type="dcterms:W3CDTF">2021-04-26T11:53:00Z</dcterms:modified>
</cp:coreProperties>
</file>